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B96EB" w14:textId="77777777" w:rsidR="00F96943" w:rsidRDefault="00F96943" w:rsidP="00F96943">
      <w:bookmarkStart w:id="0" w:name="_Hlk33087823"/>
      <w:r>
        <w:rPr>
          <w:noProof/>
        </w:rPr>
        <w:drawing>
          <wp:anchor distT="0" distB="0" distL="114300" distR="114300" simplePos="0" relativeHeight="251660288" behindDoc="1" locked="0" layoutInCell="1" allowOverlap="1" wp14:anchorId="291A6D75" wp14:editId="75E5E34A">
            <wp:simplePos x="0" y="0"/>
            <wp:positionH relativeFrom="margin">
              <wp:align>center</wp:align>
            </wp:positionH>
            <wp:positionV relativeFrom="paragraph">
              <wp:posOffset>0</wp:posOffset>
            </wp:positionV>
            <wp:extent cx="1452880" cy="784225"/>
            <wp:effectExtent l="0" t="0" r="0" b="0"/>
            <wp:wrapTight wrapText="bothSides">
              <wp:wrapPolygon edited="0">
                <wp:start x="0" y="0"/>
                <wp:lineTo x="0" y="20988"/>
                <wp:lineTo x="21241" y="20988"/>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288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797643" w14:textId="77777777" w:rsidR="00F96943" w:rsidRDefault="00F96943" w:rsidP="00F96943">
      <w:pPr>
        <w:jc w:val="center"/>
        <w:rPr>
          <w:b/>
          <w:sz w:val="32"/>
          <w:szCs w:val="32"/>
          <w:u w:val="single"/>
        </w:rPr>
      </w:pPr>
    </w:p>
    <w:p w14:paraId="62BAA75A" w14:textId="77777777" w:rsidR="00F96943" w:rsidRDefault="00F96943" w:rsidP="00F96943">
      <w:pPr>
        <w:jc w:val="center"/>
        <w:rPr>
          <w:b/>
        </w:rPr>
      </w:pPr>
    </w:p>
    <w:tbl>
      <w:tblPr>
        <w:tblpPr w:leftFromText="180" w:rightFromText="180" w:vertAnchor="text" w:horzAnchor="margin" w:tblpX="13" w:tblpY="675"/>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3955"/>
        <w:gridCol w:w="2014"/>
        <w:gridCol w:w="1979"/>
      </w:tblGrid>
      <w:tr w:rsidR="00F96943" w:rsidRPr="00E0561A" w14:paraId="551DF115" w14:textId="77777777" w:rsidTr="00EE5055">
        <w:tc>
          <w:tcPr>
            <w:tcW w:w="1677" w:type="dxa"/>
            <w:shd w:val="clear" w:color="auto" w:fill="auto"/>
          </w:tcPr>
          <w:p w14:paraId="2DB31EAF" w14:textId="77777777" w:rsidR="00F96943" w:rsidRPr="001D5E88" w:rsidRDefault="00F96943" w:rsidP="00EE5055">
            <w:pPr>
              <w:spacing w:before="100" w:beforeAutospacing="1"/>
              <w:rPr>
                <w:rFonts w:ascii="Calibri" w:hAnsi="Calibri" w:cs="Arial"/>
                <w:b/>
                <w:bCs/>
                <w:color w:val="000000"/>
              </w:rPr>
            </w:pPr>
            <w:bookmarkStart w:id="1" w:name="_Hlk33083973"/>
            <w:r w:rsidRPr="001D5E88">
              <w:rPr>
                <w:rFonts w:ascii="Calibri" w:hAnsi="Calibri" w:cs="Arial"/>
                <w:b/>
                <w:bCs/>
                <w:color w:val="000000"/>
              </w:rPr>
              <w:t xml:space="preserve">Policy Name: </w:t>
            </w:r>
          </w:p>
        </w:tc>
        <w:tc>
          <w:tcPr>
            <w:tcW w:w="3955" w:type="dxa"/>
            <w:shd w:val="clear" w:color="auto" w:fill="auto"/>
          </w:tcPr>
          <w:p w14:paraId="4BACE422" w14:textId="4D137AA5" w:rsidR="00F96943" w:rsidRPr="001D5E88" w:rsidRDefault="00F96943" w:rsidP="00EE5055">
            <w:pPr>
              <w:spacing w:before="100" w:beforeAutospacing="1"/>
              <w:rPr>
                <w:rFonts w:ascii="Calibri" w:hAnsi="Calibri" w:cs="Arial"/>
                <w:b/>
                <w:bCs/>
                <w:color w:val="000000"/>
              </w:rPr>
            </w:pPr>
            <w:r>
              <w:rPr>
                <w:rFonts w:ascii="Calibri" w:hAnsi="Calibri" w:cs="Arial"/>
                <w:b/>
                <w:bCs/>
                <w:color w:val="000000"/>
              </w:rPr>
              <w:t xml:space="preserve">HIPAA Breach Reporting </w:t>
            </w:r>
            <w:r w:rsidRPr="001D5E88">
              <w:rPr>
                <w:rFonts w:ascii="Calibri" w:hAnsi="Calibri" w:cs="Arial"/>
                <w:b/>
                <w:bCs/>
                <w:color w:val="000000"/>
              </w:rPr>
              <w:t xml:space="preserve">  </w:t>
            </w:r>
          </w:p>
        </w:tc>
        <w:tc>
          <w:tcPr>
            <w:tcW w:w="2014" w:type="dxa"/>
            <w:shd w:val="clear" w:color="auto" w:fill="auto"/>
          </w:tcPr>
          <w:p w14:paraId="42B8CDE9" w14:textId="77777777" w:rsidR="00F96943" w:rsidRPr="001D5E88" w:rsidRDefault="00F96943" w:rsidP="00EE5055">
            <w:pPr>
              <w:spacing w:before="100" w:beforeAutospacing="1"/>
              <w:rPr>
                <w:rFonts w:ascii="Calibri" w:hAnsi="Calibri" w:cs="Arial"/>
                <w:b/>
                <w:bCs/>
                <w:color w:val="000000"/>
              </w:rPr>
            </w:pPr>
            <w:r w:rsidRPr="001D5E88">
              <w:rPr>
                <w:rFonts w:ascii="Calibri" w:hAnsi="Calibri" w:cs="Arial"/>
                <w:b/>
                <w:bCs/>
                <w:color w:val="000000"/>
              </w:rPr>
              <w:t xml:space="preserve">Date Revised: </w:t>
            </w:r>
          </w:p>
        </w:tc>
        <w:tc>
          <w:tcPr>
            <w:tcW w:w="1979" w:type="dxa"/>
            <w:shd w:val="clear" w:color="auto" w:fill="auto"/>
          </w:tcPr>
          <w:p w14:paraId="46C02A27" w14:textId="77777777" w:rsidR="00F96943" w:rsidRPr="001D5E88" w:rsidRDefault="00F96943" w:rsidP="00EE5055">
            <w:pPr>
              <w:spacing w:before="100" w:beforeAutospacing="1"/>
              <w:rPr>
                <w:rFonts w:ascii="Calibri" w:hAnsi="Calibri" w:cs="Arial"/>
                <w:b/>
                <w:bCs/>
                <w:color w:val="000000"/>
              </w:rPr>
            </w:pPr>
            <w:r>
              <w:rPr>
                <w:rFonts w:ascii="Calibri" w:hAnsi="Calibri" w:cs="Arial"/>
                <w:b/>
                <w:bCs/>
                <w:color w:val="000000"/>
              </w:rPr>
              <w:t>2/2020</w:t>
            </w:r>
          </w:p>
        </w:tc>
      </w:tr>
      <w:tr w:rsidR="00F96943" w:rsidRPr="00E0561A" w14:paraId="599CF549" w14:textId="77777777" w:rsidTr="00EE5055">
        <w:tc>
          <w:tcPr>
            <w:tcW w:w="1677" w:type="dxa"/>
            <w:shd w:val="clear" w:color="auto" w:fill="auto"/>
          </w:tcPr>
          <w:p w14:paraId="78B6A770" w14:textId="77777777" w:rsidR="00F96943" w:rsidRPr="001D5E88" w:rsidRDefault="00F96943" w:rsidP="00EE5055">
            <w:pPr>
              <w:spacing w:before="100" w:beforeAutospacing="1"/>
              <w:rPr>
                <w:rFonts w:ascii="Calibri" w:hAnsi="Calibri" w:cs="Arial"/>
                <w:b/>
                <w:bCs/>
                <w:color w:val="000000"/>
              </w:rPr>
            </w:pPr>
            <w:r w:rsidRPr="001D5E88">
              <w:rPr>
                <w:rFonts w:ascii="Calibri" w:hAnsi="Calibri" w:cs="Arial"/>
                <w:b/>
                <w:bCs/>
                <w:color w:val="000000"/>
              </w:rPr>
              <w:t>Purpose:</w:t>
            </w:r>
          </w:p>
        </w:tc>
        <w:tc>
          <w:tcPr>
            <w:tcW w:w="3955" w:type="dxa"/>
            <w:shd w:val="clear" w:color="auto" w:fill="auto"/>
          </w:tcPr>
          <w:p w14:paraId="12427AB6" w14:textId="25453C95" w:rsidR="00F96943" w:rsidRPr="001D5E88" w:rsidRDefault="00F96943" w:rsidP="00EE5055">
            <w:pPr>
              <w:spacing w:before="100" w:beforeAutospacing="1"/>
              <w:rPr>
                <w:rFonts w:ascii="Calibri" w:hAnsi="Calibri" w:cs="Arial"/>
                <w:b/>
                <w:bCs/>
                <w:color w:val="000000"/>
              </w:rPr>
            </w:pPr>
            <w:r w:rsidRPr="001D5E88">
              <w:rPr>
                <w:rFonts w:ascii="Calibri" w:hAnsi="Calibri" w:cs="Arial"/>
                <w:b/>
                <w:bCs/>
                <w:color w:val="000000"/>
              </w:rPr>
              <w:t xml:space="preserve">Protocol </w:t>
            </w:r>
            <w:r>
              <w:rPr>
                <w:rFonts w:ascii="Calibri" w:hAnsi="Calibri" w:cs="Arial"/>
                <w:b/>
                <w:bCs/>
                <w:color w:val="000000"/>
              </w:rPr>
              <w:t>Responding to a Breach of Confidentiality, Privacy and/or Security of Protected Health Information (PHI)</w:t>
            </w:r>
          </w:p>
        </w:tc>
        <w:tc>
          <w:tcPr>
            <w:tcW w:w="2014" w:type="dxa"/>
            <w:shd w:val="clear" w:color="auto" w:fill="auto"/>
          </w:tcPr>
          <w:p w14:paraId="1B6A57E2" w14:textId="77777777" w:rsidR="00F96943" w:rsidRPr="001D5E88" w:rsidRDefault="00F96943" w:rsidP="00EE5055">
            <w:pPr>
              <w:spacing w:before="100" w:beforeAutospacing="1"/>
              <w:rPr>
                <w:rFonts w:ascii="Calibri" w:hAnsi="Calibri" w:cs="Arial"/>
                <w:b/>
                <w:bCs/>
                <w:color w:val="000000"/>
              </w:rPr>
            </w:pPr>
            <w:r w:rsidRPr="001D5E88">
              <w:rPr>
                <w:rFonts w:ascii="Calibri" w:hAnsi="Calibri" w:cs="Arial"/>
                <w:b/>
                <w:bCs/>
                <w:color w:val="000000"/>
              </w:rPr>
              <w:t>Board Approval:</w:t>
            </w:r>
          </w:p>
        </w:tc>
        <w:tc>
          <w:tcPr>
            <w:tcW w:w="1979" w:type="dxa"/>
            <w:shd w:val="clear" w:color="auto" w:fill="auto"/>
          </w:tcPr>
          <w:p w14:paraId="59BA42AE" w14:textId="77777777" w:rsidR="00F96943" w:rsidRPr="001D5E88" w:rsidRDefault="00F96943" w:rsidP="00EE5055">
            <w:pPr>
              <w:spacing w:before="100" w:beforeAutospacing="1"/>
              <w:rPr>
                <w:rFonts w:ascii="Calibri" w:hAnsi="Calibri" w:cs="Arial"/>
                <w:b/>
                <w:bCs/>
                <w:color w:val="000000"/>
              </w:rPr>
            </w:pPr>
          </w:p>
        </w:tc>
      </w:tr>
      <w:bookmarkEnd w:id="1"/>
    </w:tbl>
    <w:p w14:paraId="757AD6D2" w14:textId="77777777" w:rsidR="00F96943" w:rsidRDefault="00F96943" w:rsidP="00F96943">
      <w:pPr>
        <w:spacing w:before="100" w:beforeAutospacing="1"/>
        <w:rPr>
          <w:b/>
          <w:bCs/>
          <w:color w:val="000000"/>
          <w:sz w:val="28"/>
          <w:szCs w:val="28"/>
        </w:rPr>
      </w:pPr>
    </w:p>
    <w:bookmarkEnd w:id="0"/>
    <w:p w14:paraId="04902650" w14:textId="77777777" w:rsidR="00F96943" w:rsidRDefault="00F96943" w:rsidP="00F96943">
      <w:pPr>
        <w:jc w:val="both"/>
      </w:pPr>
      <w:r>
        <w:rPr>
          <w:noProof/>
        </w:rPr>
        <mc:AlternateContent>
          <mc:Choice Requires="wps">
            <w:drawing>
              <wp:anchor distT="0" distB="0" distL="114300" distR="114300" simplePos="0" relativeHeight="251659264" behindDoc="0" locked="0" layoutInCell="1" allowOverlap="1" wp14:anchorId="0F4D7A28" wp14:editId="2A541624">
                <wp:simplePos x="0" y="0"/>
                <wp:positionH relativeFrom="margin">
                  <wp:align>left</wp:align>
                </wp:positionH>
                <wp:positionV relativeFrom="paragraph">
                  <wp:posOffset>73660</wp:posOffset>
                </wp:positionV>
                <wp:extent cx="6113145" cy="9525"/>
                <wp:effectExtent l="19050" t="19050" r="2095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3145" cy="9525"/>
                        </a:xfrm>
                        <a:prstGeom prst="line">
                          <a:avLst/>
                        </a:prstGeom>
                        <a:noFill/>
                        <a:ln w="28575" cap="flat" cmpd="sng" algn="ctr">
                          <a:solidFill>
                            <a:srgbClr val="327E7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731731"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8pt" to="481.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" strokecolor="#327e71" strokeweight="2.25pt">
                <v:stroke joinstyle="miter"/>
                <o:lock v:ext="edit" shapetype="f"/>
                <w10:wrap anchorx="margin"/>
              </v:line>
            </w:pict>
          </mc:Fallback>
        </mc:AlternateContent>
      </w:r>
    </w:p>
    <w:p w14:paraId="653B6E26" w14:textId="77777777" w:rsidR="00F96943" w:rsidRDefault="00F96943" w:rsidP="005755C8">
      <w:pPr>
        <w:jc w:val="both"/>
        <w:rPr>
          <w:rFonts w:ascii="Arial" w:hAnsi="Arial" w:cs="Arial"/>
          <w:b/>
          <w:bCs/>
          <w:sz w:val="22"/>
          <w:szCs w:val="22"/>
        </w:rPr>
      </w:pPr>
    </w:p>
    <w:p w14:paraId="3F3AAC2B" w14:textId="4ADB96F7" w:rsidR="005755C8" w:rsidRPr="00F96943" w:rsidRDefault="005755C8" w:rsidP="005755C8">
      <w:pPr>
        <w:jc w:val="both"/>
        <w:rPr>
          <w:rFonts w:ascii="Calibri" w:hAnsi="Calibri" w:cs="Calibri"/>
          <w:b/>
          <w:bCs/>
        </w:rPr>
      </w:pPr>
      <w:r w:rsidRPr="00F96943">
        <w:rPr>
          <w:rFonts w:ascii="Calibri" w:hAnsi="Calibri" w:cs="Calibri"/>
          <w:b/>
          <w:bCs/>
        </w:rPr>
        <w:t xml:space="preserve">Policy: </w:t>
      </w:r>
    </w:p>
    <w:p w14:paraId="6BD23581" w14:textId="2B55B000" w:rsidR="00C97DD5" w:rsidRPr="00F96943" w:rsidRDefault="00C97DD5" w:rsidP="00C97DD5">
      <w:pPr>
        <w:jc w:val="both"/>
        <w:rPr>
          <w:rFonts w:ascii="Calibri" w:hAnsi="Calibri" w:cs="Calibri"/>
        </w:rPr>
      </w:pPr>
      <w:r w:rsidRPr="00F96943">
        <w:rPr>
          <w:rFonts w:ascii="Calibri" w:hAnsi="Calibri" w:cs="Calibri"/>
        </w:rPr>
        <w:t xml:space="preserve">It is the policy of </w:t>
      </w:r>
      <w:r w:rsidR="00F96943">
        <w:rPr>
          <w:rFonts w:ascii="Calibri" w:hAnsi="Calibri" w:cs="Calibri"/>
        </w:rPr>
        <w:t>Greater New Beginnings (GNB)</w:t>
      </w:r>
      <w:r w:rsidRPr="00F96943">
        <w:rPr>
          <w:rFonts w:ascii="Calibri" w:hAnsi="Calibri" w:cs="Calibri"/>
        </w:rPr>
        <w:t xml:space="preserve"> to assure the privacy, security and confidentiality of individually identifiable client information and other non-public information in accordance with federal, state and agency requirements. Complaints of suspected breaches of privacy, security and confidentiality by members of the workforce and Business Associates may be filed directly with </w:t>
      </w:r>
      <w:r w:rsidR="00F96943">
        <w:rPr>
          <w:rFonts w:ascii="Calibri" w:hAnsi="Calibri" w:cs="Calibri"/>
        </w:rPr>
        <w:t>GNB’s</w:t>
      </w:r>
      <w:r w:rsidRPr="00F96943">
        <w:rPr>
          <w:rFonts w:ascii="Calibri" w:hAnsi="Calibri" w:cs="Calibri"/>
        </w:rPr>
        <w:t xml:space="preserve"> Privacy Officer or directly to the County. Instances of breach of confidentiality will be dealt with in accordance with federal, state and agency regulations. </w:t>
      </w:r>
    </w:p>
    <w:p w14:paraId="156EDB96" w14:textId="77777777" w:rsidR="00DC64B0" w:rsidRPr="00F96943" w:rsidRDefault="00DC64B0" w:rsidP="00C97DD5">
      <w:pPr>
        <w:jc w:val="both"/>
        <w:rPr>
          <w:rFonts w:ascii="Calibri" w:hAnsi="Calibri" w:cs="Calibri"/>
        </w:rPr>
      </w:pPr>
    </w:p>
    <w:p w14:paraId="1BEEDAD4" w14:textId="3B86880D" w:rsidR="00C97DD5" w:rsidRPr="00F96943" w:rsidRDefault="00C97DD5" w:rsidP="00C97DD5">
      <w:pPr>
        <w:jc w:val="both"/>
        <w:rPr>
          <w:rFonts w:ascii="Calibri" w:hAnsi="Calibri" w:cs="Calibri"/>
        </w:rPr>
      </w:pPr>
      <w:r w:rsidRPr="00F96943">
        <w:rPr>
          <w:rFonts w:ascii="Calibri" w:hAnsi="Calibri" w:cs="Calibri"/>
        </w:rPr>
        <w:t xml:space="preserve">A breach of confidentiality, privacy and/or security of individually identifiable client information is a violation of </w:t>
      </w:r>
      <w:r w:rsidR="00F96943">
        <w:rPr>
          <w:rFonts w:ascii="Calibri" w:hAnsi="Calibri" w:cs="Calibri"/>
        </w:rPr>
        <w:t>Greater New Beginnings</w:t>
      </w:r>
      <w:r w:rsidRPr="00F96943">
        <w:rPr>
          <w:rFonts w:ascii="Calibri" w:hAnsi="Calibri" w:cs="Calibri"/>
        </w:rPr>
        <w:t xml:space="preserve"> policy.  A breach occurs when unauthorized persons gain (or are given) access to protected client information whether or not the unauthorized person uses or discloses the information. This policy applies to all forms of protected records created, received, sent and/or stored by </w:t>
      </w:r>
      <w:r w:rsidR="00F96943">
        <w:rPr>
          <w:rFonts w:ascii="Calibri" w:hAnsi="Calibri" w:cs="Calibri"/>
        </w:rPr>
        <w:t>GNB</w:t>
      </w:r>
      <w:r w:rsidRPr="00F96943">
        <w:rPr>
          <w:rFonts w:ascii="Calibri" w:hAnsi="Calibri" w:cs="Calibri"/>
        </w:rPr>
        <w:t xml:space="preserve">. </w:t>
      </w:r>
    </w:p>
    <w:p w14:paraId="354DC2FE" w14:textId="77777777" w:rsidR="00C97DD5" w:rsidRPr="00F96943" w:rsidRDefault="00C97DD5" w:rsidP="00C97DD5">
      <w:pPr>
        <w:jc w:val="both"/>
        <w:rPr>
          <w:rFonts w:ascii="Calibri" w:hAnsi="Calibri" w:cs="Calibri"/>
        </w:rPr>
      </w:pPr>
    </w:p>
    <w:p w14:paraId="033E6B29" w14:textId="459C58D5" w:rsidR="00C97DD5" w:rsidRPr="00F96943" w:rsidRDefault="00C97DD5" w:rsidP="00C97DD5">
      <w:pPr>
        <w:jc w:val="both"/>
        <w:rPr>
          <w:rFonts w:ascii="Calibri" w:hAnsi="Calibri" w:cs="Calibri"/>
          <w:b/>
          <w:bCs/>
        </w:rPr>
      </w:pPr>
      <w:r w:rsidRPr="00F96943">
        <w:rPr>
          <w:rFonts w:ascii="Calibri" w:hAnsi="Calibri" w:cs="Calibri"/>
          <w:b/>
          <w:bCs/>
        </w:rPr>
        <w:t>P</w:t>
      </w:r>
      <w:r w:rsidR="00E951B3" w:rsidRPr="00F96943">
        <w:rPr>
          <w:rFonts w:ascii="Calibri" w:hAnsi="Calibri" w:cs="Calibri"/>
          <w:b/>
          <w:bCs/>
        </w:rPr>
        <w:t xml:space="preserve">rocedure: </w:t>
      </w:r>
    </w:p>
    <w:p w14:paraId="3238725F" w14:textId="19BE46C0" w:rsidR="00C97DD5" w:rsidRPr="00F96943" w:rsidRDefault="00C97DD5" w:rsidP="00C97DD5">
      <w:pPr>
        <w:jc w:val="both"/>
        <w:rPr>
          <w:rFonts w:ascii="Calibri" w:hAnsi="Calibri" w:cs="Calibri"/>
        </w:rPr>
      </w:pPr>
      <w:r w:rsidRPr="00F96943">
        <w:rPr>
          <w:rFonts w:ascii="Calibri" w:hAnsi="Calibri" w:cs="Calibri"/>
        </w:rPr>
        <w:t xml:space="preserve">A breach of privacy, security and/or confidentiality may result in harm whether or not it was intentional. It is a serious event that must be remedied as quickly as possible. </w:t>
      </w:r>
    </w:p>
    <w:p w14:paraId="4E0D5A68" w14:textId="77777777" w:rsidR="00C97DD5" w:rsidRPr="00F96943" w:rsidRDefault="00C97DD5" w:rsidP="00C97DD5">
      <w:pPr>
        <w:pStyle w:val="ListParagraph"/>
        <w:numPr>
          <w:ilvl w:val="0"/>
          <w:numId w:val="2"/>
        </w:numPr>
        <w:suppressAutoHyphens/>
        <w:jc w:val="both"/>
        <w:rPr>
          <w:rFonts w:ascii="Calibri" w:hAnsi="Calibri" w:cs="Calibri"/>
        </w:rPr>
      </w:pPr>
      <w:r w:rsidRPr="00F96943">
        <w:rPr>
          <w:rFonts w:ascii="Calibri" w:hAnsi="Calibri" w:cs="Calibri"/>
        </w:rPr>
        <w:t>Workforce Members</w:t>
      </w:r>
    </w:p>
    <w:p w14:paraId="1D2CE662" w14:textId="17C72619" w:rsidR="00C97DD5" w:rsidRPr="00F96943" w:rsidRDefault="00C97DD5" w:rsidP="00C97DD5">
      <w:pPr>
        <w:pStyle w:val="ListParagraph"/>
        <w:numPr>
          <w:ilvl w:val="1"/>
          <w:numId w:val="2"/>
        </w:numPr>
        <w:suppressAutoHyphens/>
        <w:jc w:val="both"/>
        <w:rPr>
          <w:rFonts w:ascii="Calibri" w:hAnsi="Calibri" w:cs="Calibri"/>
        </w:rPr>
      </w:pPr>
      <w:r w:rsidRPr="00F96943">
        <w:rPr>
          <w:rFonts w:ascii="Calibri" w:hAnsi="Calibri" w:cs="Calibri"/>
        </w:rPr>
        <w:t xml:space="preserve">Workforce members who receive a complaint or encounter an actual (or potential) breach of confidentiality must take appropriate action to temporarily secure the breach and then report the circumstances to their immediate supervisor. </w:t>
      </w:r>
    </w:p>
    <w:p w14:paraId="5E8F0C46" w14:textId="77777777" w:rsidR="00C97DD5" w:rsidRPr="00F96943" w:rsidRDefault="00C97DD5" w:rsidP="00C97DD5">
      <w:pPr>
        <w:pStyle w:val="ListParagraph"/>
        <w:numPr>
          <w:ilvl w:val="1"/>
          <w:numId w:val="2"/>
        </w:numPr>
        <w:suppressAutoHyphens/>
        <w:jc w:val="both"/>
        <w:rPr>
          <w:rFonts w:ascii="Calibri" w:hAnsi="Calibri" w:cs="Calibri"/>
        </w:rPr>
      </w:pPr>
      <w:r w:rsidRPr="00F96943">
        <w:rPr>
          <w:rFonts w:ascii="Calibri" w:hAnsi="Calibri" w:cs="Calibri"/>
        </w:rPr>
        <w:t xml:space="preserve">If their supervisor is unavailable, they are required to report the situation to the next higher level of supervision. </w:t>
      </w:r>
    </w:p>
    <w:p w14:paraId="30D6CEFE" w14:textId="7D24A5D1" w:rsidR="00C97DD5" w:rsidRPr="00F96943" w:rsidRDefault="00C97DD5" w:rsidP="00C97DD5">
      <w:pPr>
        <w:pStyle w:val="ListParagraph"/>
        <w:numPr>
          <w:ilvl w:val="0"/>
          <w:numId w:val="2"/>
        </w:numPr>
        <w:suppressAutoHyphens/>
        <w:jc w:val="both"/>
        <w:rPr>
          <w:rFonts w:ascii="Calibri" w:hAnsi="Calibri" w:cs="Calibri"/>
        </w:rPr>
      </w:pPr>
      <w:r w:rsidRPr="00F96943">
        <w:rPr>
          <w:rFonts w:ascii="Calibri" w:hAnsi="Calibri" w:cs="Calibri"/>
        </w:rPr>
        <w:t>Investigation, Mitigation and Risk Management by the Quality Assurance Compliance Manager</w:t>
      </w:r>
    </w:p>
    <w:p w14:paraId="3BCFBFE3" w14:textId="34278E88" w:rsidR="00C97DD5" w:rsidRPr="00F96943" w:rsidRDefault="00C97DD5" w:rsidP="00C97DD5">
      <w:pPr>
        <w:pStyle w:val="ListParagraph"/>
        <w:numPr>
          <w:ilvl w:val="1"/>
          <w:numId w:val="2"/>
        </w:numPr>
        <w:suppressAutoHyphens/>
        <w:jc w:val="both"/>
        <w:rPr>
          <w:rFonts w:ascii="Calibri" w:hAnsi="Calibri" w:cs="Calibri"/>
        </w:rPr>
      </w:pPr>
      <w:r w:rsidRPr="00F96943">
        <w:rPr>
          <w:rFonts w:ascii="Calibri" w:hAnsi="Calibri" w:cs="Calibri"/>
        </w:rPr>
        <w:t xml:space="preserve">The QA Compliance Manager or designee performs an investigation and evaluation of the suspected breach. The Manager or designee must assure that the following minimum activities are accomplished: </w:t>
      </w:r>
    </w:p>
    <w:p w14:paraId="2C014A99" w14:textId="77777777" w:rsidR="00C97DD5" w:rsidRPr="00F96943" w:rsidRDefault="00C97DD5" w:rsidP="00C97DD5">
      <w:pPr>
        <w:pStyle w:val="ListParagraph"/>
        <w:numPr>
          <w:ilvl w:val="2"/>
          <w:numId w:val="2"/>
        </w:numPr>
        <w:suppressAutoHyphens/>
        <w:jc w:val="both"/>
        <w:rPr>
          <w:rFonts w:ascii="Calibri" w:hAnsi="Calibri" w:cs="Calibri"/>
        </w:rPr>
      </w:pPr>
      <w:r w:rsidRPr="00F96943">
        <w:rPr>
          <w:rFonts w:ascii="Calibri" w:hAnsi="Calibri" w:cs="Calibri"/>
        </w:rPr>
        <w:t xml:space="preserve">Evaluate temporary measures initially used to secure the breach. When appropriate, add additional measures to mitigate harm that may have </w:t>
      </w:r>
      <w:r w:rsidRPr="00F96943">
        <w:rPr>
          <w:rFonts w:ascii="Calibri" w:hAnsi="Calibri" w:cs="Calibri"/>
        </w:rPr>
        <w:lastRenderedPageBreak/>
        <w:t xml:space="preserve">occurred as a result of the use or disclosure of PHI in violation of policy and procedure or requirements of regulations. </w:t>
      </w:r>
    </w:p>
    <w:p w14:paraId="48978EF9" w14:textId="77777777" w:rsidR="00C97DD5" w:rsidRPr="00F96943" w:rsidRDefault="00C97DD5" w:rsidP="00C97DD5">
      <w:pPr>
        <w:pStyle w:val="ListParagraph"/>
        <w:numPr>
          <w:ilvl w:val="2"/>
          <w:numId w:val="2"/>
        </w:numPr>
        <w:suppressAutoHyphens/>
        <w:jc w:val="both"/>
        <w:rPr>
          <w:rFonts w:ascii="Calibri" w:hAnsi="Calibri" w:cs="Calibri"/>
        </w:rPr>
      </w:pPr>
      <w:r w:rsidRPr="00F96943">
        <w:rPr>
          <w:rFonts w:ascii="Calibri" w:hAnsi="Calibri" w:cs="Calibri"/>
        </w:rPr>
        <w:t>Conduct fact-finding activities and evaluate the validity and potential impact (risk) of the suspected breach to the extent practicable.</w:t>
      </w:r>
    </w:p>
    <w:p w14:paraId="7954B38E" w14:textId="77777777" w:rsidR="00C97DD5" w:rsidRPr="00F96943" w:rsidRDefault="00C97DD5" w:rsidP="00C97DD5">
      <w:pPr>
        <w:pStyle w:val="ListParagraph"/>
        <w:numPr>
          <w:ilvl w:val="2"/>
          <w:numId w:val="2"/>
        </w:numPr>
        <w:suppressAutoHyphens/>
        <w:jc w:val="both"/>
        <w:rPr>
          <w:rFonts w:ascii="Calibri" w:hAnsi="Calibri" w:cs="Calibri"/>
        </w:rPr>
      </w:pPr>
      <w:r w:rsidRPr="00F96943">
        <w:rPr>
          <w:rFonts w:ascii="Calibri" w:hAnsi="Calibri" w:cs="Calibri"/>
        </w:rPr>
        <w:t xml:space="preserve">If an intentional breach is suspected, contact the Human Resource Department for guidance on how to proceed with the investigation. Subsequent management actions will take into consideration such factors as the seriousness of the breach, whether it was intentional or unintentional, and the past record of the offender(s). </w:t>
      </w:r>
    </w:p>
    <w:p w14:paraId="41794B44" w14:textId="77777777" w:rsidR="00C97DD5" w:rsidRPr="00F96943" w:rsidRDefault="00C97DD5" w:rsidP="00C97DD5">
      <w:pPr>
        <w:pStyle w:val="ListParagraph"/>
        <w:numPr>
          <w:ilvl w:val="2"/>
          <w:numId w:val="2"/>
        </w:numPr>
        <w:suppressAutoHyphens/>
        <w:jc w:val="both"/>
        <w:rPr>
          <w:rFonts w:ascii="Calibri" w:hAnsi="Calibri" w:cs="Calibri"/>
        </w:rPr>
      </w:pPr>
      <w:r w:rsidRPr="00F96943">
        <w:rPr>
          <w:rFonts w:ascii="Calibri" w:hAnsi="Calibri" w:cs="Calibri"/>
        </w:rPr>
        <w:t xml:space="preserve">Take appropriate action to resolve the breach and prevent future occurrences. </w:t>
      </w:r>
    </w:p>
    <w:p w14:paraId="65495322" w14:textId="77777777" w:rsidR="00C97DD5" w:rsidRPr="00F96943" w:rsidRDefault="00C97DD5" w:rsidP="00C97DD5">
      <w:pPr>
        <w:pStyle w:val="ListParagraph"/>
        <w:numPr>
          <w:ilvl w:val="2"/>
          <w:numId w:val="2"/>
        </w:numPr>
        <w:suppressAutoHyphens/>
        <w:jc w:val="both"/>
        <w:rPr>
          <w:rFonts w:ascii="Calibri" w:hAnsi="Calibri" w:cs="Calibri"/>
        </w:rPr>
      </w:pPr>
      <w:r w:rsidRPr="00F96943">
        <w:rPr>
          <w:rFonts w:ascii="Calibri" w:hAnsi="Calibri" w:cs="Calibri"/>
        </w:rPr>
        <w:t>Make required reports and notifications.</w:t>
      </w:r>
    </w:p>
    <w:p w14:paraId="49071A9D" w14:textId="77777777" w:rsidR="00C97DD5" w:rsidRPr="00F96943" w:rsidRDefault="00C97DD5" w:rsidP="00C97DD5">
      <w:pPr>
        <w:pStyle w:val="ListParagraph"/>
        <w:numPr>
          <w:ilvl w:val="2"/>
          <w:numId w:val="2"/>
        </w:numPr>
        <w:suppressAutoHyphens/>
        <w:jc w:val="both"/>
        <w:rPr>
          <w:rFonts w:ascii="Calibri" w:hAnsi="Calibri" w:cs="Calibri"/>
        </w:rPr>
      </w:pPr>
      <w:r w:rsidRPr="00F96943">
        <w:rPr>
          <w:rFonts w:ascii="Calibri" w:hAnsi="Calibri" w:cs="Calibri"/>
        </w:rPr>
        <w:t>Develop an action plan for preventing future occurrences.</w:t>
      </w:r>
    </w:p>
    <w:p w14:paraId="3094DC04" w14:textId="77777777" w:rsidR="00C97DD5" w:rsidRPr="00F96943" w:rsidRDefault="00C97DD5" w:rsidP="00C97DD5">
      <w:pPr>
        <w:pStyle w:val="ListParagraph"/>
        <w:numPr>
          <w:ilvl w:val="2"/>
          <w:numId w:val="2"/>
        </w:numPr>
        <w:suppressAutoHyphens/>
        <w:jc w:val="both"/>
        <w:rPr>
          <w:rFonts w:ascii="Calibri" w:hAnsi="Calibri" w:cs="Calibri"/>
        </w:rPr>
      </w:pPr>
      <w:r w:rsidRPr="00F96943">
        <w:rPr>
          <w:rFonts w:ascii="Calibri" w:hAnsi="Calibri" w:cs="Calibri"/>
        </w:rPr>
        <w:t xml:space="preserve">Report the incident to the </w:t>
      </w:r>
      <w:r w:rsidRPr="00D41D9B">
        <w:rPr>
          <w:rFonts w:ascii="Calibri" w:hAnsi="Calibri" w:cs="Calibri"/>
        </w:rPr>
        <w:t>Privacy Officer</w:t>
      </w:r>
      <w:r w:rsidRPr="00F96943">
        <w:rPr>
          <w:rFonts w:ascii="Calibri" w:hAnsi="Calibri" w:cs="Calibri"/>
        </w:rPr>
        <w:t xml:space="preserve"> within one working day, regardless of findings. </w:t>
      </w:r>
    </w:p>
    <w:p w14:paraId="59C95D45" w14:textId="77777777" w:rsidR="00C97DD5" w:rsidRPr="00F96943" w:rsidRDefault="00C97DD5" w:rsidP="00C97DD5">
      <w:pPr>
        <w:pStyle w:val="ListParagraph"/>
        <w:numPr>
          <w:ilvl w:val="0"/>
          <w:numId w:val="2"/>
        </w:numPr>
        <w:suppressAutoHyphens/>
        <w:jc w:val="both"/>
        <w:rPr>
          <w:rFonts w:ascii="Calibri" w:hAnsi="Calibri" w:cs="Calibri"/>
        </w:rPr>
      </w:pPr>
      <w:r w:rsidRPr="00F96943">
        <w:rPr>
          <w:rFonts w:ascii="Calibri" w:hAnsi="Calibri" w:cs="Calibri"/>
        </w:rPr>
        <w:t>Investigation and Reporting by the Privacy Officer (or designee)</w:t>
      </w:r>
    </w:p>
    <w:p w14:paraId="1D0BF56A" w14:textId="13074270" w:rsidR="00C97DD5" w:rsidRPr="00F96943" w:rsidRDefault="00C97DD5" w:rsidP="00C97DD5">
      <w:pPr>
        <w:pStyle w:val="ListParagraph"/>
        <w:numPr>
          <w:ilvl w:val="1"/>
          <w:numId w:val="2"/>
        </w:numPr>
        <w:suppressAutoHyphens/>
        <w:jc w:val="both"/>
        <w:rPr>
          <w:rFonts w:ascii="Calibri" w:hAnsi="Calibri" w:cs="Calibri"/>
        </w:rPr>
      </w:pPr>
      <w:r w:rsidRPr="00F96943">
        <w:rPr>
          <w:rFonts w:ascii="Calibri" w:hAnsi="Calibri" w:cs="Calibri"/>
        </w:rPr>
        <w:t>The Privacy Officer will receive the report and take appropriate action depending upon the nature (and broader implications)</w:t>
      </w:r>
      <w:bookmarkStart w:id="2" w:name="_GoBack"/>
      <w:bookmarkEnd w:id="2"/>
      <w:r w:rsidRPr="00F96943">
        <w:rPr>
          <w:rFonts w:ascii="Calibri" w:hAnsi="Calibri" w:cs="Calibri"/>
        </w:rPr>
        <w:t xml:space="preserve"> of the suspected breach. If the suspected breach appears to be limited to the area of responsibility of the reporting QA Compliance Manager (and has been appropriately resolved), the Privacy Officer ends the process and documents the Manager’s report. </w:t>
      </w:r>
    </w:p>
    <w:p w14:paraId="6ED292B6" w14:textId="77777777" w:rsidR="00C97DD5" w:rsidRPr="00F96943" w:rsidRDefault="00C97DD5" w:rsidP="00C97DD5">
      <w:pPr>
        <w:pStyle w:val="ListParagraph"/>
        <w:numPr>
          <w:ilvl w:val="1"/>
          <w:numId w:val="2"/>
        </w:numPr>
        <w:suppressAutoHyphens/>
        <w:jc w:val="both"/>
        <w:rPr>
          <w:rFonts w:ascii="Calibri" w:hAnsi="Calibri" w:cs="Calibri"/>
        </w:rPr>
      </w:pPr>
      <w:r w:rsidRPr="00F96943">
        <w:rPr>
          <w:rFonts w:ascii="Calibri" w:hAnsi="Calibri" w:cs="Calibri"/>
        </w:rPr>
        <w:t xml:space="preserve">If the complaint appears to be valid and/or appears to have implications beyond the initial program, the Privacy Officer will research the facts of the broader event. Depending upon the nature of initial findings, the Privacy Officer will consult with the Executive Director regarding the event and enlist assistance with the independent investigation. </w:t>
      </w:r>
    </w:p>
    <w:p w14:paraId="1F533A98" w14:textId="77777777" w:rsidR="00C97DD5" w:rsidRPr="00F96943" w:rsidRDefault="00C97DD5" w:rsidP="00C97DD5">
      <w:pPr>
        <w:pStyle w:val="ListParagraph"/>
        <w:numPr>
          <w:ilvl w:val="1"/>
          <w:numId w:val="2"/>
        </w:numPr>
        <w:suppressAutoHyphens/>
        <w:jc w:val="both"/>
        <w:rPr>
          <w:rFonts w:ascii="Calibri" w:hAnsi="Calibri" w:cs="Calibri"/>
        </w:rPr>
      </w:pPr>
      <w:r w:rsidRPr="00F96943">
        <w:rPr>
          <w:rFonts w:ascii="Calibri" w:hAnsi="Calibri" w:cs="Calibri"/>
        </w:rPr>
        <w:t xml:space="preserve">If a breach has occurred, the Privacy Officer and Executive Director will agree upon system-wide recommendations based upon the nature, severity and impact of the breach. In instances of serious breaches, the Privacy Officer will request a written plan of correction. </w:t>
      </w:r>
    </w:p>
    <w:p w14:paraId="56FB910A" w14:textId="77777777" w:rsidR="00C97DD5" w:rsidRPr="00F96943" w:rsidRDefault="00C97DD5" w:rsidP="00C97DD5">
      <w:pPr>
        <w:pStyle w:val="ListParagraph"/>
        <w:numPr>
          <w:ilvl w:val="0"/>
          <w:numId w:val="2"/>
        </w:numPr>
        <w:suppressAutoHyphens/>
        <w:jc w:val="both"/>
        <w:rPr>
          <w:rFonts w:ascii="Calibri" w:hAnsi="Calibri" w:cs="Calibri"/>
        </w:rPr>
      </w:pPr>
      <w:r w:rsidRPr="00F96943">
        <w:rPr>
          <w:rFonts w:ascii="Calibri" w:hAnsi="Calibri" w:cs="Calibri"/>
        </w:rPr>
        <w:t>Management Responses: Sanctions and Other Consequences for a Breach of Confidentiality</w:t>
      </w:r>
    </w:p>
    <w:p w14:paraId="0BF812D7" w14:textId="170F2896" w:rsidR="00C97DD5" w:rsidRPr="00F96943" w:rsidRDefault="00C97DD5" w:rsidP="00C97DD5">
      <w:pPr>
        <w:pStyle w:val="ListParagraph"/>
        <w:numPr>
          <w:ilvl w:val="1"/>
          <w:numId w:val="2"/>
        </w:numPr>
        <w:suppressAutoHyphens/>
        <w:jc w:val="both"/>
        <w:rPr>
          <w:rFonts w:ascii="Calibri" w:hAnsi="Calibri" w:cs="Calibri"/>
        </w:rPr>
      </w:pPr>
      <w:r w:rsidRPr="00F96943">
        <w:rPr>
          <w:rFonts w:ascii="Calibri" w:hAnsi="Calibri" w:cs="Calibri"/>
        </w:rPr>
        <w:t xml:space="preserve">All members of the workforce are required to comply with federal, state, county and </w:t>
      </w:r>
      <w:r w:rsidR="00F96943">
        <w:rPr>
          <w:rFonts w:ascii="Calibri" w:hAnsi="Calibri" w:cs="Calibri"/>
        </w:rPr>
        <w:t>Greater New Beginnings’</w:t>
      </w:r>
      <w:r w:rsidRPr="00F96943">
        <w:rPr>
          <w:rFonts w:ascii="Calibri" w:hAnsi="Calibri" w:cs="Calibri"/>
        </w:rPr>
        <w:t xml:space="preserve"> regulations. </w:t>
      </w:r>
    </w:p>
    <w:p w14:paraId="46F76C4A" w14:textId="77777777" w:rsidR="00C97DD5" w:rsidRPr="00F96943" w:rsidRDefault="00C97DD5" w:rsidP="00C97DD5">
      <w:pPr>
        <w:pStyle w:val="ListParagraph"/>
        <w:numPr>
          <w:ilvl w:val="1"/>
          <w:numId w:val="2"/>
        </w:numPr>
        <w:suppressAutoHyphens/>
        <w:jc w:val="both"/>
        <w:rPr>
          <w:rFonts w:ascii="Calibri" w:hAnsi="Calibri" w:cs="Calibri"/>
        </w:rPr>
      </w:pPr>
      <w:r w:rsidRPr="00F96943">
        <w:rPr>
          <w:rFonts w:ascii="Calibri" w:hAnsi="Calibri" w:cs="Calibri"/>
        </w:rPr>
        <w:t>Corrective actions for breaches of privacy, security or confidentiality by workforce members are the responsibility of program management.</w:t>
      </w:r>
    </w:p>
    <w:p w14:paraId="2FB98B6B" w14:textId="77777777" w:rsidR="00DC64B0" w:rsidRPr="00F96943" w:rsidRDefault="00C97DD5" w:rsidP="00C97DD5">
      <w:pPr>
        <w:pStyle w:val="ListParagraph"/>
        <w:numPr>
          <w:ilvl w:val="1"/>
          <w:numId w:val="2"/>
        </w:numPr>
        <w:suppressAutoHyphens/>
        <w:jc w:val="both"/>
        <w:rPr>
          <w:rFonts w:ascii="Calibri" w:hAnsi="Calibri" w:cs="Calibri"/>
        </w:rPr>
      </w:pPr>
      <w:r w:rsidRPr="00F96943">
        <w:rPr>
          <w:rFonts w:ascii="Calibri" w:hAnsi="Calibri" w:cs="Calibri"/>
        </w:rPr>
        <w:t xml:space="preserve">Sanctions for confirmed breaches may range from a warning up to job termination, depending on the circumstances of the breach. </w:t>
      </w:r>
    </w:p>
    <w:p w14:paraId="5EABD68E" w14:textId="77777777" w:rsidR="00DC64B0" w:rsidRPr="00F96943" w:rsidRDefault="00C97DD5" w:rsidP="00DC64B0">
      <w:pPr>
        <w:pStyle w:val="ListParagraph"/>
        <w:numPr>
          <w:ilvl w:val="0"/>
          <w:numId w:val="2"/>
        </w:numPr>
        <w:suppressAutoHyphens/>
        <w:jc w:val="both"/>
        <w:rPr>
          <w:rFonts w:ascii="Calibri" w:hAnsi="Calibri" w:cs="Calibri"/>
        </w:rPr>
      </w:pPr>
      <w:r w:rsidRPr="00F96943">
        <w:rPr>
          <w:rFonts w:ascii="Calibri" w:hAnsi="Calibri" w:cs="Calibri"/>
        </w:rPr>
        <w:t xml:space="preserve">Responsibility </w:t>
      </w:r>
    </w:p>
    <w:p w14:paraId="07A69D0D" w14:textId="77777777" w:rsidR="00DC64B0" w:rsidRPr="00F96943" w:rsidRDefault="00C97DD5" w:rsidP="00DC64B0">
      <w:pPr>
        <w:pStyle w:val="ListParagraph"/>
        <w:numPr>
          <w:ilvl w:val="1"/>
          <w:numId w:val="2"/>
        </w:numPr>
        <w:suppressAutoHyphens/>
        <w:jc w:val="both"/>
        <w:rPr>
          <w:rFonts w:ascii="Calibri" w:hAnsi="Calibri" w:cs="Calibri"/>
        </w:rPr>
      </w:pPr>
      <w:r w:rsidRPr="00F96943">
        <w:rPr>
          <w:rFonts w:ascii="Calibri" w:hAnsi="Calibri" w:cs="Calibri"/>
        </w:rPr>
        <w:t xml:space="preserve">The Privacy Officer has overall responsibility for the orientation and training of the workforce in policies and procedures related to the privacy, security and confidentiality of protected health information. </w:t>
      </w:r>
    </w:p>
    <w:p w14:paraId="3015C238" w14:textId="77777777" w:rsidR="00DC64B0" w:rsidRPr="00F96943" w:rsidRDefault="00C97DD5" w:rsidP="00DC64B0">
      <w:pPr>
        <w:pStyle w:val="ListParagraph"/>
        <w:numPr>
          <w:ilvl w:val="1"/>
          <w:numId w:val="2"/>
        </w:numPr>
        <w:suppressAutoHyphens/>
        <w:jc w:val="both"/>
        <w:rPr>
          <w:rFonts w:ascii="Calibri" w:hAnsi="Calibri" w:cs="Calibri"/>
        </w:rPr>
      </w:pPr>
      <w:r w:rsidRPr="00F96943">
        <w:rPr>
          <w:rFonts w:ascii="Calibri" w:hAnsi="Calibri" w:cs="Calibri"/>
        </w:rPr>
        <w:t>The Privacy Officer is available for consultation upon request.</w:t>
      </w:r>
    </w:p>
    <w:p w14:paraId="52FC56FB" w14:textId="77777777" w:rsidR="00DC64B0" w:rsidRPr="00F96943" w:rsidRDefault="00C97DD5" w:rsidP="00DC64B0">
      <w:pPr>
        <w:pStyle w:val="ListParagraph"/>
        <w:numPr>
          <w:ilvl w:val="0"/>
          <w:numId w:val="2"/>
        </w:numPr>
        <w:suppressAutoHyphens/>
        <w:jc w:val="both"/>
        <w:rPr>
          <w:rFonts w:ascii="Calibri" w:hAnsi="Calibri" w:cs="Calibri"/>
        </w:rPr>
      </w:pPr>
      <w:r w:rsidRPr="00F96943">
        <w:rPr>
          <w:rFonts w:ascii="Calibri" w:hAnsi="Calibri" w:cs="Calibri"/>
        </w:rPr>
        <w:lastRenderedPageBreak/>
        <w:t>Coordination</w:t>
      </w:r>
    </w:p>
    <w:p w14:paraId="759330EC" w14:textId="77777777" w:rsidR="00DC64B0" w:rsidRPr="00F96943" w:rsidRDefault="00C97DD5" w:rsidP="00DC64B0">
      <w:pPr>
        <w:pStyle w:val="ListParagraph"/>
        <w:numPr>
          <w:ilvl w:val="1"/>
          <w:numId w:val="2"/>
        </w:numPr>
        <w:suppressAutoHyphens/>
        <w:jc w:val="both"/>
        <w:rPr>
          <w:rFonts w:ascii="Calibri" w:hAnsi="Calibri" w:cs="Calibri"/>
        </w:rPr>
      </w:pPr>
      <w:r w:rsidRPr="00F96943">
        <w:rPr>
          <w:rFonts w:ascii="Calibri" w:hAnsi="Calibri" w:cs="Calibri"/>
        </w:rPr>
        <w:t xml:space="preserve">The Privacy Officer investigates and coordinates situations that appear to have implications beyond the boundaries of the program where the initial complaint was made. </w:t>
      </w:r>
    </w:p>
    <w:p w14:paraId="53FF36EC" w14:textId="77777777" w:rsidR="00DC64B0" w:rsidRPr="00F96943" w:rsidRDefault="00C97DD5" w:rsidP="00DC64B0">
      <w:pPr>
        <w:pStyle w:val="ListParagraph"/>
        <w:numPr>
          <w:ilvl w:val="0"/>
          <w:numId w:val="2"/>
        </w:numPr>
        <w:suppressAutoHyphens/>
        <w:jc w:val="both"/>
        <w:rPr>
          <w:rFonts w:ascii="Calibri" w:hAnsi="Calibri" w:cs="Calibri"/>
        </w:rPr>
      </w:pPr>
      <w:r w:rsidRPr="00F96943">
        <w:rPr>
          <w:rFonts w:ascii="Calibri" w:hAnsi="Calibri" w:cs="Calibri"/>
        </w:rPr>
        <w:t>Monitoring and Reporting</w:t>
      </w:r>
    </w:p>
    <w:p w14:paraId="31C971B4" w14:textId="77777777" w:rsidR="00DC64B0" w:rsidRPr="00F96943" w:rsidRDefault="00C97DD5" w:rsidP="00DC64B0">
      <w:pPr>
        <w:pStyle w:val="ListParagraph"/>
        <w:numPr>
          <w:ilvl w:val="1"/>
          <w:numId w:val="2"/>
        </w:numPr>
        <w:suppressAutoHyphens/>
        <w:jc w:val="both"/>
        <w:rPr>
          <w:rFonts w:ascii="Calibri" w:hAnsi="Calibri" w:cs="Calibri"/>
        </w:rPr>
      </w:pPr>
      <w:r w:rsidRPr="00F96943">
        <w:rPr>
          <w:rFonts w:ascii="Calibri" w:hAnsi="Calibri" w:cs="Calibri"/>
        </w:rPr>
        <w:t xml:space="preserve">The Privacy Officer is required to monitor the number, type and disposition of complaints and report findings at least quarterly. </w:t>
      </w:r>
    </w:p>
    <w:p w14:paraId="3E79BA14" w14:textId="05CD2782" w:rsidR="005755C8" w:rsidRPr="00F96943" w:rsidRDefault="00C97DD5" w:rsidP="00C97DD5">
      <w:pPr>
        <w:pStyle w:val="ListParagraph"/>
        <w:numPr>
          <w:ilvl w:val="1"/>
          <w:numId w:val="2"/>
        </w:numPr>
        <w:suppressAutoHyphens/>
        <w:jc w:val="both"/>
        <w:rPr>
          <w:rFonts w:ascii="Calibri" w:hAnsi="Calibri" w:cs="Calibri"/>
        </w:rPr>
      </w:pPr>
      <w:r w:rsidRPr="00F96943">
        <w:rPr>
          <w:rFonts w:ascii="Calibri" w:hAnsi="Calibri" w:cs="Calibri"/>
        </w:rPr>
        <w:t xml:space="preserve">The Privacy Officer will prepare an annual analysis of findings. </w:t>
      </w:r>
    </w:p>
    <w:sectPr w:rsidR="005755C8" w:rsidRPr="00F96943" w:rsidSect="00F96943">
      <w:footerReference w:type="default" r:id="rId8"/>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3C22" w14:textId="77777777" w:rsidR="00641CD0" w:rsidRDefault="00641CD0" w:rsidP="005755C8">
      <w:r>
        <w:separator/>
      </w:r>
    </w:p>
  </w:endnote>
  <w:endnote w:type="continuationSeparator" w:id="0">
    <w:p w14:paraId="541A9102" w14:textId="77777777" w:rsidR="00641CD0" w:rsidRDefault="00641CD0" w:rsidP="0057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432039"/>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28636285"/>
          <w:docPartObj>
            <w:docPartGallery w:val="Page Numbers (Top of Page)"/>
            <w:docPartUnique/>
          </w:docPartObj>
        </w:sdtPr>
        <w:sdtEndPr/>
        <w:sdtContent>
          <w:p w14:paraId="69D41F01" w14:textId="313FA7ED" w:rsidR="00F96943" w:rsidRPr="00F96943" w:rsidRDefault="00F96943">
            <w:pPr>
              <w:pStyle w:val="Footer"/>
              <w:jc w:val="center"/>
              <w:rPr>
                <w:rFonts w:ascii="Arial" w:hAnsi="Arial" w:cs="Arial"/>
                <w:sz w:val="20"/>
                <w:szCs w:val="20"/>
              </w:rPr>
            </w:pPr>
            <w:r w:rsidRPr="00F96943">
              <w:rPr>
                <w:rFonts w:ascii="Arial" w:hAnsi="Arial" w:cs="Arial"/>
                <w:sz w:val="20"/>
                <w:szCs w:val="20"/>
              </w:rPr>
              <w:t xml:space="preserve">Page </w:t>
            </w:r>
            <w:r w:rsidRPr="00F96943">
              <w:rPr>
                <w:rFonts w:ascii="Arial" w:hAnsi="Arial" w:cs="Arial"/>
                <w:b/>
                <w:bCs/>
                <w:sz w:val="20"/>
                <w:szCs w:val="20"/>
              </w:rPr>
              <w:fldChar w:fldCharType="begin"/>
            </w:r>
            <w:r w:rsidRPr="00F96943">
              <w:rPr>
                <w:rFonts w:ascii="Arial" w:hAnsi="Arial" w:cs="Arial"/>
                <w:b/>
                <w:bCs/>
                <w:sz w:val="20"/>
                <w:szCs w:val="20"/>
              </w:rPr>
              <w:instrText xml:space="preserve"> PAGE </w:instrText>
            </w:r>
            <w:r w:rsidRPr="00F96943">
              <w:rPr>
                <w:rFonts w:ascii="Arial" w:hAnsi="Arial" w:cs="Arial"/>
                <w:b/>
                <w:bCs/>
                <w:sz w:val="20"/>
                <w:szCs w:val="20"/>
              </w:rPr>
              <w:fldChar w:fldCharType="separate"/>
            </w:r>
            <w:r w:rsidRPr="00F96943">
              <w:rPr>
                <w:rFonts w:ascii="Arial" w:hAnsi="Arial" w:cs="Arial"/>
                <w:b/>
                <w:bCs/>
                <w:noProof/>
                <w:sz w:val="20"/>
                <w:szCs w:val="20"/>
              </w:rPr>
              <w:t>2</w:t>
            </w:r>
            <w:r w:rsidRPr="00F96943">
              <w:rPr>
                <w:rFonts w:ascii="Arial" w:hAnsi="Arial" w:cs="Arial"/>
                <w:b/>
                <w:bCs/>
                <w:sz w:val="20"/>
                <w:szCs w:val="20"/>
              </w:rPr>
              <w:fldChar w:fldCharType="end"/>
            </w:r>
            <w:r w:rsidRPr="00F96943">
              <w:rPr>
                <w:rFonts w:ascii="Arial" w:hAnsi="Arial" w:cs="Arial"/>
                <w:sz w:val="20"/>
                <w:szCs w:val="20"/>
              </w:rPr>
              <w:t xml:space="preserve"> of </w:t>
            </w:r>
            <w:r w:rsidRPr="00F96943">
              <w:rPr>
                <w:rFonts w:ascii="Arial" w:hAnsi="Arial" w:cs="Arial"/>
                <w:b/>
                <w:bCs/>
                <w:sz w:val="20"/>
                <w:szCs w:val="20"/>
              </w:rPr>
              <w:fldChar w:fldCharType="begin"/>
            </w:r>
            <w:r w:rsidRPr="00F96943">
              <w:rPr>
                <w:rFonts w:ascii="Arial" w:hAnsi="Arial" w:cs="Arial"/>
                <w:b/>
                <w:bCs/>
                <w:sz w:val="20"/>
                <w:szCs w:val="20"/>
              </w:rPr>
              <w:instrText xml:space="preserve"> NUMPAGES  </w:instrText>
            </w:r>
            <w:r w:rsidRPr="00F96943">
              <w:rPr>
                <w:rFonts w:ascii="Arial" w:hAnsi="Arial" w:cs="Arial"/>
                <w:b/>
                <w:bCs/>
                <w:sz w:val="20"/>
                <w:szCs w:val="20"/>
              </w:rPr>
              <w:fldChar w:fldCharType="separate"/>
            </w:r>
            <w:r w:rsidRPr="00F96943">
              <w:rPr>
                <w:rFonts w:ascii="Arial" w:hAnsi="Arial" w:cs="Arial"/>
                <w:b/>
                <w:bCs/>
                <w:noProof/>
                <w:sz w:val="20"/>
                <w:szCs w:val="20"/>
              </w:rPr>
              <w:t>2</w:t>
            </w:r>
            <w:r w:rsidRPr="00F96943">
              <w:rPr>
                <w:rFonts w:ascii="Arial" w:hAnsi="Arial" w:cs="Arial"/>
                <w:b/>
                <w:bCs/>
                <w:sz w:val="20"/>
                <w:szCs w:val="20"/>
              </w:rPr>
              <w:fldChar w:fldCharType="end"/>
            </w:r>
          </w:p>
        </w:sdtContent>
      </w:sdt>
    </w:sdtContent>
  </w:sdt>
  <w:p w14:paraId="2AB5EBBA" w14:textId="77777777" w:rsidR="00F96943" w:rsidRDefault="00F96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7C44B" w14:textId="77777777" w:rsidR="00641CD0" w:rsidRDefault="00641CD0" w:rsidP="005755C8">
      <w:r>
        <w:separator/>
      </w:r>
    </w:p>
  </w:footnote>
  <w:footnote w:type="continuationSeparator" w:id="0">
    <w:p w14:paraId="762949ED" w14:textId="77777777" w:rsidR="00641CD0" w:rsidRDefault="00641CD0" w:rsidP="00575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4F7E"/>
    <w:multiLevelType w:val="hybridMultilevel"/>
    <w:tmpl w:val="C53E5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6438C"/>
    <w:multiLevelType w:val="hybridMultilevel"/>
    <w:tmpl w:val="2A6848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F0225"/>
    <w:multiLevelType w:val="hybridMultilevel"/>
    <w:tmpl w:val="435A67E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66"/>
    <w:rsid w:val="00036579"/>
    <w:rsid w:val="00067C98"/>
    <w:rsid w:val="001E2003"/>
    <w:rsid w:val="004206A8"/>
    <w:rsid w:val="004E5350"/>
    <w:rsid w:val="005755C8"/>
    <w:rsid w:val="006223A5"/>
    <w:rsid w:val="00641CD0"/>
    <w:rsid w:val="006C5D66"/>
    <w:rsid w:val="00772D38"/>
    <w:rsid w:val="007C5CB5"/>
    <w:rsid w:val="00876202"/>
    <w:rsid w:val="00AB630C"/>
    <w:rsid w:val="00B70510"/>
    <w:rsid w:val="00C97DD5"/>
    <w:rsid w:val="00CB1528"/>
    <w:rsid w:val="00D41D9B"/>
    <w:rsid w:val="00D47917"/>
    <w:rsid w:val="00DC64B0"/>
    <w:rsid w:val="00E446D8"/>
    <w:rsid w:val="00E951B3"/>
    <w:rsid w:val="00F94556"/>
    <w:rsid w:val="00F9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3F69"/>
  <w15:chartTrackingRefBased/>
  <w15:docId w15:val="{A4BD48BB-B745-4B2E-931E-78E0A6B8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5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5C8"/>
    <w:pPr>
      <w:tabs>
        <w:tab w:val="center" w:pos="4680"/>
        <w:tab w:val="right" w:pos="9360"/>
      </w:tabs>
    </w:pPr>
  </w:style>
  <w:style w:type="character" w:customStyle="1" w:styleId="HeaderChar">
    <w:name w:val="Header Char"/>
    <w:basedOn w:val="DefaultParagraphFont"/>
    <w:link w:val="Header"/>
    <w:uiPriority w:val="99"/>
    <w:rsid w:val="005755C8"/>
  </w:style>
  <w:style w:type="paragraph" w:styleId="Footer">
    <w:name w:val="footer"/>
    <w:basedOn w:val="Normal"/>
    <w:link w:val="FooterChar"/>
    <w:uiPriority w:val="99"/>
    <w:unhideWhenUsed/>
    <w:rsid w:val="005755C8"/>
    <w:pPr>
      <w:tabs>
        <w:tab w:val="center" w:pos="4680"/>
        <w:tab w:val="right" w:pos="9360"/>
      </w:tabs>
    </w:pPr>
  </w:style>
  <w:style w:type="character" w:customStyle="1" w:styleId="FooterChar">
    <w:name w:val="Footer Char"/>
    <w:basedOn w:val="DefaultParagraphFont"/>
    <w:link w:val="Footer"/>
    <w:uiPriority w:val="99"/>
    <w:rsid w:val="005755C8"/>
  </w:style>
  <w:style w:type="paragraph" w:styleId="ListParagraph">
    <w:name w:val="List Paragraph"/>
    <w:basedOn w:val="Normal"/>
    <w:uiPriority w:val="34"/>
    <w:qFormat/>
    <w:rsid w:val="005755C8"/>
    <w:pPr>
      <w:ind w:left="720"/>
      <w:contextualSpacing/>
    </w:pPr>
  </w:style>
  <w:style w:type="paragraph" w:styleId="BalloonText">
    <w:name w:val="Balloon Text"/>
    <w:basedOn w:val="Normal"/>
    <w:link w:val="BalloonTextChar"/>
    <w:uiPriority w:val="99"/>
    <w:semiHidden/>
    <w:unhideWhenUsed/>
    <w:rsid w:val="00876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2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76202"/>
    <w:rPr>
      <w:sz w:val="16"/>
      <w:szCs w:val="16"/>
    </w:rPr>
  </w:style>
  <w:style w:type="paragraph" w:styleId="CommentText">
    <w:name w:val="annotation text"/>
    <w:basedOn w:val="Normal"/>
    <w:link w:val="CommentTextChar"/>
    <w:uiPriority w:val="99"/>
    <w:semiHidden/>
    <w:unhideWhenUsed/>
    <w:rsid w:val="00876202"/>
    <w:rPr>
      <w:sz w:val="20"/>
      <w:szCs w:val="20"/>
    </w:rPr>
  </w:style>
  <w:style w:type="character" w:customStyle="1" w:styleId="CommentTextChar">
    <w:name w:val="Comment Text Char"/>
    <w:basedOn w:val="DefaultParagraphFont"/>
    <w:link w:val="CommentText"/>
    <w:uiPriority w:val="99"/>
    <w:semiHidden/>
    <w:rsid w:val="008762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6202"/>
    <w:rPr>
      <w:b/>
      <w:bCs/>
    </w:rPr>
  </w:style>
  <w:style w:type="character" w:customStyle="1" w:styleId="CommentSubjectChar">
    <w:name w:val="Comment Subject Char"/>
    <w:basedOn w:val="CommentTextChar"/>
    <w:link w:val="CommentSubject"/>
    <w:uiPriority w:val="99"/>
    <w:semiHidden/>
    <w:rsid w:val="0087620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Wolfe</dc:creator>
  <cp:keywords/>
  <dc:description/>
  <cp:lastModifiedBy>Krystal Wolfe</cp:lastModifiedBy>
  <cp:revision>3</cp:revision>
  <dcterms:created xsi:type="dcterms:W3CDTF">2020-03-12T00:29:00Z</dcterms:created>
  <dcterms:modified xsi:type="dcterms:W3CDTF">2020-03-17T20:42:00Z</dcterms:modified>
</cp:coreProperties>
</file>