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A9AC" w14:textId="6A9B4686" w:rsidR="00B67820" w:rsidRDefault="00A4266C" w:rsidP="00B67820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1ED825B" wp14:editId="28297A21">
            <wp:simplePos x="0" y="0"/>
            <wp:positionH relativeFrom="column">
              <wp:posOffset>2703444</wp:posOffset>
            </wp:positionH>
            <wp:positionV relativeFrom="paragraph">
              <wp:posOffset>-223575</wp:posOffset>
            </wp:positionV>
            <wp:extent cx="1452880" cy="784225"/>
            <wp:effectExtent l="0" t="0" r="0" b="0"/>
            <wp:wrapTight wrapText="bothSides">
              <wp:wrapPolygon edited="0">
                <wp:start x="0" y="0"/>
                <wp:lineTo x="0" y="20988"/>
                <wp:lineTo x="21241" y="20988"/>
                <wp:lineTo x="212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CB0">
        <w:rPr>
          <w:noProof/>
        </w:rPr>
        <w:t xml:space="preserve">    </w:t>
      </w:r>
      <w:r w:rsidR="00B67820">
        <w:tab/>
      </w:r>
      <w:r w:rsidR="00B67820">
        <w:tab/>
      </w:r>
      <w:r w:rsidR="00B67820">
        <w:tab/>
      </w:r>
      <w:r w:rsidR="00B67820">
        <w:tab/>
        <w:t xml:space="preserve">           </w:t>
      </w:r>
    </w:p>
    <w:p w14:paraId="2A375539" w14:textId="77777777" w:rsidR="00332ED0" w:rsidRDefault="00332ED0" w:rsidP="00B67820"/>
    <w:p w14:paraId="27CD3C1B" w14:textId="77777777" w:rsidR="00332ED0" w:rsidRDefault="00332ED0" w:rsidP="00B67820"/>
    <w:p w14:paraId="0787ADD4" w14:textId="0A038B79" w:rsidR="00332ED0" w:rsidRDefault="00332ED0" w:rsidP="00B67820"/>
    <w:p w14:paraId="450A61B2" w14:textId="54980DA8" w:rsidR="00A4266C" w:rsidRDefault="00A4266C" w:rsidP="00B67820"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0CEA1" wp14:editId="7F13E634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334125" cy="9525"/>
                <wp:effectExtent l="19050" t="1905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327E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95CC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45pt" to="498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" strokecolor="#327e71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1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3955"/>
        <w:gridCol w:w="2014"/>
        <w:gridCol w:w="2272"/>
      </w:tblGrid>
      <w:tr w:rsidR="00332ED0" w:rsidRPr="00E0561A" w14:paraId="2A419E93" w14:textId="77777777" w:rsidTr="00332ED0">
        <w:tc>
          <w:tcPr>
            <w:tcW w:w="1677" w:type="dxa"/>
            <w:shd w:val="clear" w:color="auto" w:fill="auto"/>
          </w:tcPr>
          <w:p w14:paraId="288EF0E8" w14:textId="77777777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Policy Name: </w:t>
            </w:r>
          </w:p>
        </w:tc>
        <w:tc>
          <w:tcPr>
            <w:tcW w:w="3955" w:type="dxa"/>
            <w:shd w:val="clear" w:color="auto" w:fill="auto"/>
          </w:tcPr>
          <w:p w14:paraId="0EBCB22D" w14:textId="35DC284C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Incident Reporting </w:t>
            </w: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2014" w:type="dxa"/>
            <w:shd w:val="clear" w:color="auto" w:fill="auto"/>
          </w:tcPr>
          <w:p w14:paraId="780C1D2B" w14:textId="77777777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Date Revised: </w:t>
            </w:r>
          </w:p>
        </w:tc>
        <w:tc>
          <w:tcPr>
            <w:tcW w:w="2272" w:type="dxa"/>
            <w:shd w:val="clear" w:color="auto" w:fill="auto"/>
          </w:tcPr>
          <w:p w14:paraId="03C7FD00" w14:textId="77777777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9/2017</w:t>
            </w:r>
          </w:p>
        </w:tc>
      </w:tr>
      <w:tr w:rsidR="00332ED0" w:rsidRPr="00E0561A" w14:paraId="6B1EBB67" w14:textId="77777777" w:rsidTr="00332ED0">
        <w:tc>
          <w:tcPr>
            <w:tcW w:w="1677" w:type="dxa"/>
            <w:shd w:val="clear" w:color="auto" w:fill="auto"/>
          </w:tcPr>
          <w:p w14:paraId="326D425F" w14:textId="77777777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Purpose:</w:t>
            </w:r>
          </w:p>
        </w:tc>
        <w:tc>
          <w:tcPr>
            <w:tcW w:w="3955" w:type="dxa"/>
            <w:shd w:val="clear" w:color="auto" w:fill="auto"/>
          </w:tcPr>
          <w:p w14:paraId="24980F9A" w14:textId="4A711D05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Protocol for Reporting Incidents </w:t>
            </w:r>
            <w:r w:rsidRPr="001D5E88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14:paraId="789B5FA8" w14:textId="77777777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Board Approval:</w:t>
            </w:r>
          </w:p>
        </w:tc>
        <w:tc>
          <w:tcPr>
            <w:tcW w:w="2272" w:type="dxa"/>
            <w:shd w:val="clear" w:color="auto" w:fill="auto"/>
          </w:tcPr>
          <w:p w14:paraId="7BB1B2A1" w14:textId="77777777" w:rsidR="00332ED0" w:rsidRPr="001D5E88" w:rsidRDefault="00332ED0" w:rsidP="00332ED0">
            <w:pPr>
              <w:spacing w:before="100" w:beforeAutospacing="1"/>
              <w:rPr>
                <w:rFonts w:ascii="Calibri" w:hAnsi="Calibri" w:cs="Arial"/>
                <w:b/>
                <w:bCs/>
                <w:color w:val="000000"/>
              </w:rPr>
            </w:pPr>
            <w:r w:rsidRPr="001D5E88">
              <w:rPr>
                <w:rFonts w:ascii="Calibri" w:hAnsi="Calibri" w:cs="Arial"/>
                <w:b/>
                <w:bCs/>
                <w:color w:val="000000"/>
              </w:rPr>
              <w:t>9/2017</w:t>
            </w:r>
          </w:p>
        </w:tc>
      </w:tr>
    </w:tbl>
    <w:p w14:paraId="79FE144B" w14:textId="5D59E2D8" w:rsidR="00332ED0" w:rsidRDefault="00332ED0" w:rsidP="00332ED0">
      <w:pPr>
        <w:jc w:val="center"/>
        <w:rPr>
          <w:b/>
          <w:sz w:val="32"/>
          <w:szCs w:val="32"/>
          <w:u w:val="single"/>
        </w:rPr>
      </w:pPr>
    </w:p>
    <w:p w14:paraId="235D87AB" w14:textId="3B72B49F" w:rsidR="00332ED0" w:rsidRDefault="00332ED0" w:rsidP="00332ED0">
      <w:pPr>
        <w:jc w:val="center"/>
        <w:rPr>
          <w:b/>
        </w:rPr>
      </w:pPr>
    </w:p>
    <w:p w14:paraId="7553A9AE" w14:textId="77777777" w:rsidR="00B67820" w:rsidRPr="00332ED0" w:rsidRDefault="00B67820" w:rsidP="00B67820">
      <w:pPr>
        <w:rPr>
          <w:rFonts w:asciiTheme="minorHAnsi" w:hAnsiTheme="minorHAnsi"/>
          <w:color w:val="000000"/>
        </w:rPr>
      </w:pPr>
      <w:r w:rsidRPr="00332ED0">
        <w:rPr>
          <w:rFonts w:asciiTheme="minorHAnsi" w:hAnsiTheme="minorHAnsi"/>
          <w:b/>
        </w:rPr>
        <w:t>Policy:</w:t>
      </w:r>
      <w:r w:rsidRPr="00332ED0">
        <w:rPr>
          <w:rFonts w:asciiTheme="minorHAnsi" w:hAnsiTheme="minorHAnsi"/>
        </w:rPr>
        <w:t xml:space="preserve">  </w:t>
      </w:r>
    </w:p>
    <w:p w14:paraId="7553A9AF" w14:textId="77777777" w:rsidR="00357A2B" w:rsidRPr="00332ED0" w:rsidRDefault="00357A2B" w:rsidP="00357A2B">
      <w:pPr>
        <w:pStyle w:val="BasicManualBody"/>
        <w:spacing w:after="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A reportable incident is any occurrence in which a client is involved with other clients, staff, foster families, biological families, helping professionals, or community members in such a manner that:</w:t>
      </w:r>
    </w:p>
    <w:p w14:paraId="7553A9B0" w14:textId="1C46100B" w:rsidR="00357A2B" w:rsidRPr="00332ED0" w:rsidRDefault="00357A2B" w:rsidP="00357A2B">
      <w:pPr>
        <w:pStyle w:val="BasicManualList"/>
        <w:spacing w:after="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A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>’s health or safety is at risk,</w:t>
      </w:r>
    </w:p>
    <w:p w14:paraId="7553A9B1" w14:textId="77777777" w:rsidR="00357A2B" w:rsidRPr="00332ED0" w:rsidRDefault="00357A2B" w:rsidP="00357A2B">
      <w:pPr>
        <w:pStyle w:val="BasicManualList"/>
        <w:spacing w:after="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A potentially dangerous situation exists,</w:t>
      </w:r>
    </w:p>
    <w:p w14:paraId="7553A9B2" w14:textId="77777777" w:rsidR="00357A2B" w:rsidRPr="00332ED0" w:rsidRDefault="00357A2B" w:rsidP="00357A2B">
      <w:pPr>
        <w:pStyle w:val="BasicManualList"/>
        <w:spacing w:after="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A suspicion of child abuse exists,</w:t>
      </w:r>
    </w:p>
    <w:p w14:paraId="7553A9B3" w14:textId="77777777" w:rsidR="00357A2B" w:rsidRPr="00332ED0" w:rsidRDefault="00357A2B" w:rsidP="00357A2B">
      <w:pPr>
        <w:pStyle w:val="BasicManualList"/>
        <w:spacing w:after="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An external regulatory agency has a legal or ethical right to be informed, and/or </w:t>
      </w:r>
    </w:p>
    <w:p w14:paraId="7553A9B4" w14:textId="77777777" w:rsidR="00357A2B" w:rsidRPr="00332ED0" w:rsidRDefault="00357A2B" w:rsidP="00357A2B">
      <w:pPr>
        <w:pStyle w:val="BasicManualList"/>
        <w:spacing w:after="12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A staff person determines that the most prudent course of action is to report the incident.</w:t>
      </w:r>
    </w:p>
    <w:p w14:paraId="38B7D62D" w14:textId="45603FCA" w:rsidR="00912792" w:rsidRPr="00332ED0" w:rsidRDefault="00912792" w:rsidP="00912792">
      <w:pPr>
        <w:pStyle w:val="BasicManualList"/>
        <w:numPr>
          <w:ilvl w:val="0"/>
          <w:numId w:val="0"/>
        </w:numPr>
        <w:spacing w:after="12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Incidents are to be reported if they occur while clients are enrolled, even if the incident occurs while the client is not in the care of </w:t>
      </w:r>
      <w:r w:rsidR="00A4266C">
        <w:rPr>
          <w:rFonts w:asciiTheme="minorHAnsi" w:hAnsiTheme="minorHAnsi"/>
          <w:sz w:val="24"/>
          <w:szCs w:val="24"/>
        </w:rPr>
        <w:t>Greater New Beginnings (GNB)</w:t>
      </w:r>
      <w:r w:rsidRPr="00332ED0">
        <w:rPr>
          <w:rFonts w:asciiTheme="minorHAnsi" w:hAnsiTheme="minorHAnsi"/>
          <w:sz w:val="24"/>
          <w:szCs w:val="24"/>
        </w:rPr>
        <w:t xml:space="preserve"> staff at the time of the incident.  The responsibility for writing the </w:t>
      </w:r>
      <w:r w:rsidR="00064068" w:rsidRPr="00332ED0">
        <w:rPr>
          <w:rFonts w:asciiTheme="minorHAnsi" w:hAnsiTheme="minorHAnsi"/>
          <w:sz w:val="24"/>
          <w:szCs w:val="24"/>
        </w:rPr>
        <w:t>incident</w:t>
      </w:r>
      <w:r w:rsidRPr="00332ED0">
        <w:rPr>
          <w:rFonts w:asciiTheme="minorHAnsi" w:hAnsiTheme="minorHAnsi"/>
          <w:sz w:val="24"/>
          <w:szCs w:val="24"/>
        </w:rPr>
        <w:t xml:space="preserve"> report lies </w:t>
      </w:r>
      <w:r w:rsidR="00064068" w:rsidRPr="00332ED0">
        <w:rPr>
          <w:rFonts w:asciiTheme="minorHAnsi" w:hAnsiTheme="minorHAnsi"/>
          <w:sz w:val="24"/>
          <w:szCs w:val="24"/>
        </w:rPr>
        <w:t>with</w:t>
      </w:r>
      <w:r w:rsidRPr="00332ED0">
        <w:rPr>
          <w:rFonts w:asciiTheme="minorHAnsi" w:hAnsiTheme="minorHAnsi"/>
          <w:sz w:val="24"/>
          <w:szCs w:val="24"/>
        </w:rPr>
        <w:t xml:space="preserve"> </w:t>
      </w:r>
      <w:r w:rsidR="00EB55F2" w:rsidRPr="00332ED0">
        <w:rPr>
          <w:rFonts w:asciiTheme="minorHAnsi" w:hAnsiTheme="minorHAnsi"/>
          <w:sz w:val="24"/>
          <w:szCs w:val="24"/>
        </w:rPr>
        <w:t>the</w:t>
      </w:r>
      <w:r w:rsidRPr="00332ED0">
        <w:rPr>
          <w:rFonts w:asciiTheme="minorHAnsi" w:hAnsiTheme="minorHAnsi"/>
          <w:sz w:val="24"/>
          <w:szCs w:val="24"/>
        </w:rPr>
        <w:t xml:space="preserve"> first </w:t>
      </w:r>
      <w:r w:rsidR="00A4266C">
        <w:rPr>
          <w:rFonts w:asciiTheme="minorHAnsi" w:hAnsiTheme="minorHAnsi"/>
          <w:sz w:val="24"/>
          <w:szCs w:val="24"/>
        </w:rPr>
        <w:t>GNB</w:t>
      </w:r>
      <w:r w:rsidRPr="00332ED0">
        <w:rPr>
          <w:rFonts w:asciiTheme="minorHAnsi" w:hAnsiTheme="minorHAnsi"/>
          <w:sz w:val="24"/>
          <w:szCs w:val="24"/>
        </w:rPr>
        <w:t xml:space="preserve"> staff involved or n</w:t>
      </w:r>
      <w:r w:rsidR="00EB55F2" w:rsidRPr="00332ED0">
        <w:rPr>
          <w:rFonts w:asciiTheme="minorHAnsi" w:hAnsiTheme="minorHAnsi"/>
          <w:sz w:val="24"/>
          <w:szCs w:val="24"/>
        </w:rPr>
        <w:t>otified of the incident.</w:t>
      </w:r>
    </w:p>
    <w:p w14:paraId="7553A9B5" w14:textId="77777777" w:rsidR="00E3073D" w:rsidRPr="00332ED0" w:rsidRDefault="00E3073D" w:rsidP="00B67820">
      <w:pPr>
        <w:rPr>
          <w:rFonts w:asciiTheme="minorHAnsi" w:hAnsiTheme="minorHAnsi"/>
        </w:rPr>
      </w:pPr>
    </w:p>
    <w:p w14:paraId="7553A9B6" w14:textId="77777777" w:rsidR="00891BCC" w:rsidRPr="00332ED0" w:rsidRDefault="00B67820" w:rsidP="00891BCC">
      <w:pPr>
        <w:pStyle w:val="Footer"/>
        <w:rPr>
          <w:rFonts w:asciiTheme="minorHAnsi" w:hAnsiTheme="minorHAnsi"/>
          <w:b/>
        </w:rPr>
      </w:pPr>
      <w:r w:rsidRPr="00332ED0">
        <w:rPr>
          <w:rFonts w:asciiTheme="minorHAnsi" w:hAnsiTheme="minorHAnsi"/>
          <w:b/>
        </w:rPr>
        <w:t>Procedure:</w:t>
      </w:r>
      <w:r w:rsidR="003A0D85" w:rsidRPr="00332ED0">
        <w:rPr>
          <w:rFonts w:asciiTheme="minorHAnsi" w:hAnsiTheme="minorHAnsi"/>
          <w:b/>
        </w:rPr>
        <w:t xml:space="preserve">  </w:t>
      </w:r>
    </w:p>
    <w:p w14:paraId="7553A9B7" w14:textId="2A95AE18" w:rsidR="00357A2B" w:rsidRPr="00332ED0" w:rsidRDefault="00357A2B" w:rsidP="00357A2B">
      <w:pPr>
        <w:pStyle w:val="BasicManualBody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Under the above circumstances, as outlined in the </w:t>
      </w:r>
      <w:r w:rsidR="00A4266C">
        <w:rPr>
          <w:rFonts w:asciiTheme="minorHAnsi" w:hAnsiTheme="minorHAnsi"/>
          <w:sz w:val="24"/>
          <w:szCs w:val="24"/>
        </w:rPr>
        <w:t xml:space="preserve">Greater New Beginnings’ </w:t>
      </w:r>
      <w:r w:rsidRPr="00332ED0">
        <w:rPr>
          <w:rFonts w:asciiTheme="minorHAnsi" w:hAnsiTheme="minorHAnsi"/>
          <w:sz w:val="24"/>
          <w:szCs w:val="24"/>
        </w:rPr>
        <w:t>policy, an incident report is written, submitted, reviewed, appropriately reported to all regulatory agencies and, if necessary, investigated.</w:t>
      </w:r>
    </w:p>
    <w:p w14:paraId="7553A9B8" w14:textId="3CC9AA67" w:rsidR="00357A2B" w:rsidRPr="00332ED0" w:rsidRDefault="00357A2B" w:rsidP="00357A2B">
      <w:pPr>
        <w:pStyle w:val="BasicManualBody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Such incidents may fall in one of three categories: Critical Incidents, Significant Incidents, or Non-Critical Incidents, as defined below.  All </w:t>
      </w:r>
      <w:r w:rsidR="000C1D7A" w:rsidRPr="00332ED0">
        <w:rPr>
          <w:rFonts w:asciiTheme="minorHAnsi" w:hAnsiTheme="minorHAnsi"/>
          <w:sz w:val="24"/>
          <w:szCs w:val="24"/>
        </w:rPr>
        <w:t>incident reports are due by the end of the shift</w:t>
      </w:r>
      <w:r w:rsidR="00912792" w:rsidRPr="00332ED0">
        <w:rPr>
          <w:rFonts w:asciiTheme="minorHAnsi" w:hAnsiTheme="minorHAnsi"/>
          <w:sz w:val="24"/>
          <w:szCs w:val="24"/>
        </w:rPr>
        <w:t xml:space="preserve"> following any incident or </w:t>
      </w:r>
      <w:r w:rsidR="000C1D7A" w:rsidRPr="00332ED0">
        <w:rPr>
          <w:rFonts w:asciiTheme="minorHAnsi" w:hAnsiTheme="minorHAnsi"/>
          <w:sz w:val="24"/>
          <w:szCs w:val="24"/>
        </w:rPr>
        <w:t>notification</w:t>
      </w:r>
      <w:r w:rsidR="00912792" w:rsidRPr="00332ED0">
        <w:rPr>
          <w:rFonts w:asciiTheme="minorHAnsi" w:hAnsiTheme="minorHAnsi"/>
          <w:sz w:val="24"/>
          <w:szCs w:val="24"/>
        </w:rPr>
        <w:t xml:space="preserve"> </w:t>
      </w:r>
      <w:r w:rsidRPr="00332ED0">
        <w:rPr>
          <w:rFonts w:asciiTheme="minorHAnsi" w:hAnsiTheme="minorHAnsi"/>
          <w:sz w:val="24"/>
          <w:szCs w:val="24"/>
        </w:rPr>
        <w:t>of an incident.</w:t>
      </w:r>
      <w:r w:rsidR="000C1D7A" w:rsidRPr="00332ED0">
        <w:rPr>
          <w:rFonts w:asciiTheme="minorHAnsi" w:hAnsiTheme="minorHAnsi"/>
          <w:sz w:val="24"/>
          <w:szCs w:val="24"/>
        </w:rPr>
        <w:t xml:space="preserve">  Supervisors and/or Directors must review the incident report and either approve or return for corrections within 24 hours and the finalized incident report is expected within 3 days.</w:t>
      </w:r>
    </w:p>
    <w:p w14:paraId="7553A9B9" w14:textId="77777777" w:rsidR="00357A2B" w:rsidRPr="00332ED0" w:rsidRDefault="00357A2B" w:rsidP="00357A2B">
      <w:pPr>
        <w:pStyle w:val="BasicManualHeader4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Critical Incidents are those in which:</w:t>
      </w:r>
    </w:p>
    <w:p w14:paraId="7553A9BA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The life of the client, or an involved individual, is in imminent danger, the situation is determined to be life threatening.</w:t>
      </w:r>
    </w:p>
    <w:p w14:paraId="7553A9BB" w14:textId="70717531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There exists a suspicion of abuse of a child involving an employee, foster parent, or another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 xml:space="preserve"> in placement that appears to present imminent risk to the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 xml:space="preserve"> and requires immediate action. </w:t>
      </w:r>
    </w:p>
    <w:p w14:paraId="7553A9BC" w14:textId="4BA9C7EB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Intrusive police involvement has occurred, which could result in the arrest of a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 xml:space="preserve">, or disruption of placement, including hospitalization. </w:t>
      </w:r>
    </w:p>
    <w:p w14:paraId="7553A9BD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The public, (neighbor, media) have become involved in the incident.</w:t>
      </w:r>
    </w:p>
    <w:p w14:paraId="7553A9BE" w14:textId="4B676A99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Hospitalization of a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>.</w:t>
      </w:r>
    </w:p>
    <w:p w14:paraId="7553A9BF" w14:textId="77777777" w:rsidR="00357A2B" w:rsidRPr="00332ED0" w:rsidRDefault="00357A2B" w:rsidP="00357A2B">
      <w:pPr>
        <w:pStyle w:val="BasicManualHeader4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Significant Incidents include those in which:</w:t>
      </w:r>
    </w:p>
    <w:p w14:paraId="7553A9C0" w14:textId="4ADF0B89" w:rsidR="00357A2B" w:rsidRPr="00332ED0" w:rsidRDefault="00357A2B" w:rsidP="00357A2B">
      <w:pPr>
        <w:pStyle w:val="BasicManualBody"/>
        <w:spacing w:after="0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Disruption of the current placement – temporary placement options are considered, which may include respite foster care or other placement within</w:t>
      </w:r>
      <w:r w:rsidR="00A4266C">
        <w:rPr>
          <w:rFonts w:asciiTheme="minorHAnsi" w:hAnsiTheme="minorHAnsi"/>
          <w:sz w:val="24"/>
          <w:szCs w:val="24"/>
        </w:rPr>
        <w:t xml:space="preserve"> Greater New Beginnings’</w:t>
      </w:r>
      <w:r w:rsidRPr="00332ED0">
        <w:rPr>
          <w:rFonts w:asciiTheme="minorHAnsi" w:hAnsiTheme="minorHAnsi"/>
          <w:sz w:val="24"/>
          <w:szCs w:val="24"/>
        </w:rPr>
        <w:t xml:space="preserve"> program.</w:t>
      </w:r>
    </w:p>
    <w:p w14:paraId="7553A9C1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Routine police involvement or contact, as may occur in a runaway situation.</w:t>
      </w:r>
    </w:p>
    <w:p w14:paraId="7553A9C2" w14:textId="59713C75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Injury of a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 xml:space="preserve"> requiring outside medical attention.</w:t>
      </w:r>
    </w:p>
    <w:p w14:paraId="7553A9C3" w14:textId="68293C4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lastRenderedPageBreak/>
        <w:t xml:space="preserve">The </w:t>
      </w:r>
      <w:r w:rsidR="00A4266C">
        <w:rPr>
          <w:rFonts w:asciiTheme="minorHAnsi" w:hAnsiTheme="minorHAnsi"/>
          <w:sz w:val="24"/>
          <w:szCs w:val="24"/>
        </w:rPr>
        <w:t>client</w:t>
      </w:r>
      <w:r w:rsidR="00A4266C" w:rsidRPr="00332ED0">
        <w:rPr>
          <w:rFonts w:asciiTheme="minorHAnsi" w:hAnsiTheme="minorHAnsi"/>
          <w:sz w:val="24"/>
          <w:szCs w:val="24"/>
        </w:rPr>
        <w:t xml:space="preserve"> </w:t>
      </w:r>
      <w:r w:rsidRPr="00332ED0">
        <w:rPr>
          <w:rFonts w:asciiTheme="minorHAnsi" w:hAnsiTheme="minorHAnsi"/>
          <w:sz w:val="24"/>
          <w:szCs w:val="24"/>
        </w:rPr>
        <w:t>running away.</w:t>
      </w:r>
    </w:p>
    <w:p w14:paraId="7553A9C4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A restraint conducted in a public place.</w:t>
      </w:r>
    </w:p>
    <w:p w14:paraId="7553A9C5" w14:textId="10FA5F9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Any restraint/seclusion, or placing of hands on a </w:t>
      </w:r>
      <w:r w:rsidR="00A4266C">
        <w:rPr>
          <w:rFonts w:asciiTheme="minorHAnsi" w:hAnsiTheme="minorHAnsi"/>
          <w:sz w:val="24"/>
          <w:szCs w:val="24"/>
        </w:rPr>
        <w:t>client</w:t>
      </w:r>
      <w:r w:rsidR="00A4266C" w:rsidRPr="00332ED0">
        <w:rPr>
          <w:rFonts w:asciiTheme="minorHAnsi" w:hAnsiTheme="minorHAnsi"/>
          <w:sz w:val="24"/>
          <w:szCs w:val="24"/>
        </w:rPr>
        <w:t xml:space="preserve"> </w:t>
      </w:r>
      <w:r w:rsidRPr="00332ED0">
        <w:rPr>
          <w:rFonts w:asciiTheme="minorHAnsi" w:hAnsiTheme="minorHAnsi"/>
          <w:sz w:val="24"/>
          <w:szCs w:val="24"/>
        </w:rPr>
        <w:t>(for notification purposes, leave voicemail messages for the Program Director and Executive Director regarding only those restraints which are longer than 2 hours or are significant due to injury, the severity of acting out, etc.)</w:t>
      </w:r>
    </w:p>
    <w:p w14:paraId="7553A9C6" w14:textId="7031D7A1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An allegation of abuse reported by </w:t>
      </w:r>
      <w:r w:rsidR="00A4266C">
        <w:rPr>
          <w:rFonts w:asciiTheme="minorHAnsi" w:hAnsiTheme="minorHAnsi"/>
          <w:sz w:val="24"/>
          <w:szCs w:val="24"/>
        </w:rPr>
        <w:t>a client</w:t>
      </w:r>
      <w:r w:rsidRPr="00332ED0">
        <w:rPr>
          <w:rFonts w:asciiTheme="minorHAnsi" w:hAnsiTheme="minorHAnsi"/>
          <w:sz w:val="24"/>
          <w:szCs w:val="24"/>
        </w:rPr>
        <w:t xml:space="preserve"> or staff person that occurred outside of the program and does not require immediate action, but involves making a CPS report.</w:t>
      </w:r>
    </w:p>
    <w:p w14:paraId="7553A9C7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Serious illness or accident.</w:t>
      </w:r>
    </w:p>
    <w:p w14:paraId="7553A9C8" w14:textId="43750753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A significant threat made by a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 xml:space="preserve">, or information given by a </w:t>
      </w:r>
      <w:r w:rsidR="00A4266C">
        <w:rPr>
          <w:rFonts w:asciiTheme="minorHAnsi" w:hAnsiTheme="minorHAnsi"/>
          <w:sz w:val="24"/>
          <w:szCs w:val="24"/>
        </w:rPr>
        <w:t>client</w:t>
      </w:r>
      <w:r w:rsidRPr="00332ED0">
        <w:rPr>
          <w:rFonts w:asciiTheme="minorHAnsi" w:hAnsiTheme="minorHAnsi"/>
          <w:sz w:val="24"/>
          <w:szCs w:val="24"/>
        </w:rPr>
        <w:t xml:space="preserve"> that is of concern and needs further investigation. </w:t>
      </w:r>
    </w:p>
    <w:p w14:paraId="7553A9C9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Medication refusal/missed medication.</w:t>
      </w:r>
    </w:p>
    <w:p w14:paraId="7553A9CA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Outbreak of communicable illness.</w:t>
      </w:r>
    </w:p>
    <w:p w14:paraId="7553A9CB" w14:textId="77777777" w:rsidR="00357A2B" w:rsidRPr="00332ED0" w:rsidRDefault="00357A2B" w:rsidP="00357A2B">
      <w:pPr>
        <w:pStyle w:val="BasicManualHeader4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Non-Critical Incidents include episodes which may result in:</w:t>
      </w:r>
    </w:p>
    <w:p w14:paraId="7553A9CC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An illness or injury that requires monitoring but is not urgent or an emergency.</w:t>
      </w:r>
    </w:p>
    <w:p w14:paraId="7553A9CD" w14:textId="624BB5C6" w:rsidR="00357A2B" w:rsidRPr="00332ED0" w:rsidRDefault="00A4266C" w:rsidP="00357A2B">
      <w:pPr>
        <w:pStyle w:val="BasicManualLi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</w:t>
      </w:r>
      <w:r w:rsidR="00357A2B" w:rsidRPr="00332ED0">
        <w:rPr>
          <w:rFonts w:asciiTheme="minorHAnsi" w:hAnsiTheme="minorHAnsi"/>
          <w:sz w:val="24"/>
          <w:szCs w:val="24"/>
        </w:rPr>
        <w:t xml:space="preserve"> whereabouts of </w:t>
      </w:r>
      <w:r>
        <w:rPr>
          <w:rFonts w:asciiTheme="minorHAnsi" w:hAnsiTheme="minorHAnsi"/>
          <w:sz w:val="24"/>
          <w:szCs w:val="24"/>
        </w:rPr>
        <w:t>client is</w:t>
      </w:r>
      <w:r w:rsidRPr="00332ED0">
        <w:rPr>
          <w:rFonts w:asciiTheme="minorHAnsi" w:hAnsiTheme="minorHAnsi"/>
          <w:sz w:val="24"/>
          <w:szCs w:val="24"/>
        </w:rPr>
        <w:t xml:space="preserve"> </w:t>
      </w:r>
      <w:r w:rsidR="00357A2B" w:rsidRPr="00332ED0">
        <w:rPr>
          <w:rFonts w:asciiTheme="minorHAnsi" w:hAnsiTheme="minorHAnsi"/>
          <w:sz w:val="24"/>
          <w:szCs w:val="24"/>
        </w:rPr>
        <w:t xml:space="preserve">unknown for less than 20 minutes, and is safely returned to </w:t>
      </w:r>
      <w:r>
        <w:rPr>
          <w:rFonts w:asciiTheme="minorHAnsi" w:hAnsiTheme="minorHAnsi"/>
          <w:sz w:val="24"/>
          <w:szCs w:val="24"/>
        </w:rPr>
        <w:t>program</w:t>
      </w:r>
      <w:r w:rsidR="00357A2B" w:rsidRPr="00332ED0">
        <w:rPr>
          <w:rFonts w:asciiTheme="minorHAnsi" w:hAnsiTheme="minorHAnsi"/>
          <w:sz w:val="24"/>
          <w:szCs w:val="24"/>
        </w:rPr>
        <w:t>.</w:t>
      </w:r>
    </w:p>
    <w:p w14:paraId="7553A9CE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 xml:space="preserve">In all situations that may not be clear, err on the side of caution. </w:t>
      </w:r>
    </w:p>
    <w:p w14:paraId="7553A9CF" w14:textId="77777777" w:rsidR="00357A2B" w:rsidRPr="00332ED0" w:rsidRDefault="00357A2B" w:rsidP="00357A2B">
      <w:pPr>
        <w:pStyle w:val="BasicManualHeader4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Reporting to Executive Director/CEO:</w:t>
      </w:r>
    </w:p>
    <w:p w14:paraId="7553A9D0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Critical Incidents require direct contact with the Executive Director, CEO or their designee.</w:t>
      </w:r>
    </w:p>
    <w:p w14:paraId="7553A9D1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Significant Incidents require a voice mail message to the Executive Director, CEO, or their designee.</w:t>
      </w:r>
    </w:p>
    <w:p w14:paraId="7553A9D2" w14:textId="77777777" w:rsidR="00357A2B" w:rsidRPr="00332ED0" w:rsidRDefault="00357A2B" w:rsidP="00357A2B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Non-critical Incidents do not require direct contact or voice mail with the Executive Director or CEO.</w:t>
      </w:r>
    </w:p>
    <w:p w14:paraId="7553A9D3" w14:textId="77777777" w:rsidR="009021C9" w:rsidRPr="00332ED0" w:rsidRDefault="009021C9" w:rsidP="009021C9">
      <w:pPr>
        <w:pStyle w:val="BasicManualHeader4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Reporting to Funding Partners:</w:t>
      </w:r>
    </w:p>
    <w:p w14:paraId="7553A9D4" w14:textId="77777777" w:rsidR="009021C9" w:rsidRPr="00332ED0" w:rsidRDefault="009021C9" w:rsidP="007B1BC0">
      <w:pPr>
        <w:pStyle w:val="BasicManualList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Critical Incidents will be reported to funding partners, including county departments, regional support networks and state license departments as applicable to the program and incident.</w:t>
      </w:r>
      <w:r w:rsidR="007B1BC0" w:rsidRPr="00332ED0">
        <w:rPr>
          <w:rFonts w:asciiTheme="minorHAnsi" w:hAnsiTheme="minorHAnsi"/>
          <w:sz w:val="24"/>
          <w:szCs w:val="24"/>
        </w:rPr>
        <w:t xml:space="preserve">  The death of any individual seeking or receiving services which occurs on the premises of a licensed agency will be reported as required to all counties, regional support networks and state license departments, as applicable, within one business day.</w:t>
      </w:r>
    </w:p>
    <w:p w14:paraId="7553A9D5" w14:textId="77777777" w:rsidR="00357A2B" w:rsidRPr="00332ED0" w:rsidRDefault="00357A2B" w:rsidP="00357A2B">
      <w:pPr>
        <w:pStyle w:val="BasicManualHeader4"/>
        <w:rPr>
          <w:rFonts w:asciiTheme="minorHAnsi" w:hAnsiTheme="minorHAnsi"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Significant Incident Reports Weekly Summary and Distribution</w:t>
      </w:r>
    </w:p>
    <w:p w14:paraId="7553A9D6" w14:textId="77777777" w:rsidR="00357A2B" w:rsidRPr="00332ED0" w:rsidRDefault="00357A2B" w:rsidP="00A4266C">
      <w:pPr>
        <w:pStyle w:val="BasicManualBody"/>
        <w:ind w:left="360"/>
        <w:rPr>
          <w:rFonts w:asciiTheme="minorHAnsi" w:hAnsiTheme="minorHAnsi"/>
          <w:b/>
          <w:sz w:val="24"/>
          <w:szCs w:val="24"/>
        </w:rPr>
      </w:pPr>
      <w:r w:rsidRPr="00332ED0">
        <w:rPr>
          <w:rFonts w:asciiTheme="minorHAnsi" w:hAnsiTheme="minorHAnsi"/>
          <w:sz w:val="24"/>
          <w:szCs w:val="24"/>
        </w:rPr>
        <w:t>Significant Incident Reports and their Summary Sheets are due to the Executive Office each Monday by 5:00pm for the previous week</w:t>
      </w:r>
    </w:p>
    <w:sectPr w:rsidR="00357A2B" w:rsidRPr="00332ED0" w:rsidSect="00A4266C">
      <w:headerReference w:type="default" r:id="rId11"/>
      <w:footerReference w:type="default" r:id="rId12"/>
      <w:pgSz w:w="12240" w:h="15840"/>
      <w:pgMar w:top="720" w:right="108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86174" w14:textId="77777777" w:rsidR="004455AA" w:rsidRDefault="004455AA">
      <w:r>
        <w:separator/>
      </w:r>
    </w:p>
  </w:endnote>
  <w:endnote w:type="continuationSeparator" w:id="0">
    <w:p w14:paraId="743814F7" w14:textId="77777777" w:rsidR="004455AA" w:rsidRDefault="004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68449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6"/>
        <w:szCs w:val="16"/>
      </w:rPr>
    </w:sdtEndPr>
    <w:sdtContent>
      <w:p w14:paraId="7B1C26A4" w14:textId="53474FF5" w:rsidR="00332ED0" w:rsidRPr="00332ED0" w:rsidRDefault="00332ED0">
        <w:pPr>
          <w:pStyle w:val="Footer"/>
          <w:jc w:val="center"/>
          <w:rPr>
            <w:rFonts w:asciiTheme="minorHAnsi" w:hAnsiTheme="minorHAnsi"/>
            <w:sz w:val="16"/>
            <w:szCs w:val="16"/>
          </w:rPr>
        </w:pPr>
        <w:r w:rsidRPr="00332ED0">
          <w:rPr>
            <w:rFonts w:asciiTheme="minorHAnsi" w:hAnsiTheme="minorHAnsi"/>
            <w:sz w:val="16"/>
            <w:szCs w:val="16"/>
          </w:rPr>
          <w:fldChar w:fldCharType="begin"/>
        </w:r>
        <w:r w:rsidRPr="00332ED0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32ED0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</w:t>
        </w:r>
        <w:r w:rsidRPr="00332ED0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  <w:p w14:paraId="5F4BC384" w14:textId="77777777" w:rsidR="00332ED0" w:rsidRDefault="00332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90360" w14:textId="77777777" w:rsidR="004455AA" w:rsidRDefault="004455AA">
      <w:r>
        <w:separator/>
      </w:r>
    </w:p>
  </w:footnote>
  <w:footnote w:type="continuationSeparator" w:id="0">
    <w:p w14:paraId="006406C8" w14:textId="77777777" w:rsidR="004455AA" w:rsidRDefault="0044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A9DF" w14:textId="77777777" w:rsidR="00445CD4" w:rsidRDefault="00445CD4">
    <w:pPr>
      <w:pStyle w:val="Header"/>
    </w:pPr>
    <w:r>
      <w:tab/>
    </w:r>
  </w:p>
  <w:p w14:paraId="7553A9E0" w14:textId="77777777" w:rsidR="00445CD4" w:rsidRDefault="00445CD4">
    <w:pPr>
      <w:pStyle w:val="Header"/>
    </w:pPr>
    <w:r>
      <w:tab/>
      <w:t xml:space="preserve">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B97F4D"/>
    <w:multiLevelType w:val="hybridMultilevel"/>
    <w:tmpl w:val="0C58E49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6ABFD"/>
    <w:multiLevelType w:val="hybridMultilevel"/>
    <w:tmpl w:val="6ACC05C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B5F624"/>
    <w:multiLevelType w:val="hybridMultilevel"/>
    <w:tmpl w:val="C7DDF4F0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117A5B6"/>
    <w:multiLevelType w:val="hybridMultilevel"/>
    <w:tmpl w:val="C3D62A1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FB1AE4"/>
    <w:multiLevelType w:val="hybridMultilevel"/>
    <w:tmpl w:val="83527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054A7"/>
    <w:multiLevelType w:val="hybridMultilevel"/>
    <w:tmpl w:val="1A9AC4AE"/>
    <w:lvl w:ilvl="0" w:tplc="98242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7764E0"/>
    <w:multiLevelType w:val="hybridMultilevel"/>
    <w:tmpl w:val="52BC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043DC"/>
    <w:multiLevelType w:val="hybridMultilevel"/>
    <w:tmpl w:val="1154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438B5"/>
    <w:multiLevelType w:val="hybridMultilevel"/>
    <w:tmpl w:val="88802598"/>
    <w:lvl w:ilvl="0" w:tplc="B8368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B2EC3"/>
    <w:multiLevelType w:val="hybridMultilevel"/>
    <w:tmpl w:val="4D7AD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89CE1"/>
    <w:multiLevelType w:val="hybridMultilevel"/>
    <w:tmpl w:val="952D5EEF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D5A8FC"/>
    <w:multiLevelType w:val="multilevel"/>
    <w:tmpl w:val="13003790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F3010"/>
    <w:multiLevelType w:val="hybridMultilevel"/>
    <w:tmpl w:val="2560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049E"/>
    <w:multiLevelType w:val="singleLevel"/>
    <w:tmpl w:val="5E7C13A2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2CCC5971"/>
    <w:multiLevelType w:val="hybridMultilevel"/>
    <w:tmpl w:val="087867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31456CDC"/>
    <w:multiLevelType w:val="hybridMultilevel"/>
    <w:tmpl w:val="EA8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059F"/>
    <w:multiLevelType w:val="hybridMultilevel"/>
    <w:tmpl w:val="C3D0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1C09"/>
    <w:multiLevelType w:val="hybridMultilevel"/>
    <w:tmpl w:val="3836ED2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D4611"/>
    <w:multiLevelType w:val="hybridMultilevel"/>
    <w:tmpl w:val="88802598"/>
    <w:lvl w:ilvl="0" w:tplc="B8368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D50CBE"/>
    <w:multiLevelType w:val="hybridMultilevel"/>
    <w:tmpl w:val="D91F7590"/>
    <w:lvl w:ilvl="0" w:tplc="FFFFFFFF">
      <w:start w:val="1"/>
      <w:numFmt w:val="ideographDigital"/>
      <w:lvlText w:val="."/>
      <w:lvlJc w:val="left"/>
    </w:lvl>
    <w:lvl w:ilvl="1" w:tplc="FFFFFFFF">
      <w:start w:val="1"/>
      <w:numFmt w:val="ideographDigit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0E6F6A2"/>
    <w:multiLevelType w:val="hybridMultilevel"/>
    <w:tmpl w:val="8CEC5335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DD62FEB"/>
    <w:multiLevelType w:val="hybridMultilevel"/>
    <w:tmpl w:val="26005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3245DE"/>
    <w:multiLevelType w:val="hybridMultilevel"/>
    <w:tmpl w:val="2CECACA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60A141FA"/>
    <w:multiLevelType w:val="hybridMultilevel"/>
    <w:tmpl w:val="96A6C75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6AFAFAE"/>
    <w:multiLevelType w:val="hybridMultilevel"/>
    <w:tmpl w:val="6426B6D4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9405DFA"/>
    <w:multiLevelType w:val="hybridMultilevel"/>
    <w:tmpl w:val="16808A22"/>
    <w:lvl w:ilvl="0" w:tplc="D6D8B19E">
      <w:start w:val="1"/>
      <w:numFmt w:val="bullet"/>
      <w:pStyle w:val="BasicManual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5"/>
  </w:num>
  <w:num w:numId="5">
    <w:abstractNumId w:val="12"/>
  </w:num>
  <w:num w:numId="6">
    <w:abstractNumId w:val="16"/>
  </w:num>
  <w:num w:numId="7">
    <w:abstractNumId w:val="6"/>
  </w:num>
  <w:num w:numId="8">
    <w:abstractNumId w:val="4"/>
  </w:num>
  <w:num w:numId="9">
    <w:abstractNumId w:val="21"/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  <w:num w:numId="14">
    <w:abstractNumId w:val="20"/>
  </w:num>
  <w:num w:numId="15">
    <w:abstractNumId w:val="24"/>
  </w:num>
  <w:num w:numId="16">
    <w:abstractNumId w:val="2"/>
  </w:num>
  <w:num w:numId="17">
    <w:abstractNumId w:val="19"/>
  </w:num>
  <w:num w:numId="18">
    <w:abstractNumId w:val="1"/>
  </w:num>
  <w:num w:numId="19">
    <w:abstractNumId w:val="5"/>
  </w:num>
  <w:num w:numId="20">
    <w:abstractNumId w:val="8"/>
  </w:num>
  <w:num w:numId="21">
    <w:abstractNumId w:val="18"/>
  </w:num>
  <w:num w:numId="22">
    <w:abstractNumId w:val="14"/>
  </w:num>
  <w:num w:numId="23">
    <w:abstractNumId w:val="23"/>
  </w:num>
  <w:num w:numId="24">
    <w:abstractNumId w:val="13"/>
  </w:num>
  <w:num w:numId="25">
    <w:abstractNumId w:val="13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26">
    <w:abstractNumId w:val="1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20"/>
    <w:rsid w:val="00036958"/>
    <w:rsid w:val="00064068"/>
    <w:rsid w:val="000733EE"/>
    <w:rsid w:val="00087476"/>
    <w:rsid w:val="000C1D7A"/>
    <w:rsid w:val="001314B3"/>
    <w:rsid w:val="00133E04"/>
    <w:rsid w:val="00142216"/>
    <w:rsid w:val="00142C22"/>
    <w:rsid w:val="0015588A"/>
    <w:rsid w:val="001A6874"/>
    <w:rsid w:val="001D1D43"/>
    <w:rsid w:val="001E1BC6"/>
    <w:rsid w:val="001F068C"/>
    <w:rsid w:val="001F7F38"/>
    <w:rsid w:val="00235AA4"/>
    <w:rsid w:val="002460F6"/>
    <w:rsid w:val="00255FE0"/>
    <w:rsid w:val="002640B5"/>
    <w:rsid w:val="00266391"/>
    <w:rsid w:val="0027289A"/>
    <w:rsid w:val="002753B6"/>
    <w:rsid w:val="0027758C"/>
    <w:rsid w:val="00281ED1"/>
    <w:rsid w:val="00286D64"/>
    <w:rsid w:val="002C2546"/>
    <w:rsid w:val="002D0697"/>
    <w:rsid w:val="002E2344"/>
    <w:rsid w:val="00332ED0"/>
    <w:rsid w:val="00343885"/>
    <w:rsid w:val="00357A2B"/>
    <w:rsid w:val="003603F3"/>
    <w:rsid w:val="003634EE"/>
    <w:rsid w:val="00387838"/>
    <w:rsid w:val="0039197D"/>
    <w:rsid w:val="00395254"/>
    <w:rsid w:val="003979CC"/>
    <w:rsid w:val="003A0D85"/>
    <w:rsid w:val="003B14C9"/>
    <w:rsid w:val="003C0308"/>
    <w:rsid w:val="003D5105"/>
    <w:rsid w:val="003E78C5"/>
    <w:rsid w:val="003F06C6"/>
    <w:rsid w:val="00407734"/>
    <w:rsid w:val="004455AA"/>
    <w:rsid w:val="00445CD4"/>
    <w:rsid w:val="00447999"/>
    <w:rsid w:val="00484E6F"/>
    <w:rsid w:val="00491C66"/>
    <w:rsid w:val="0049751E"/>
    <w:rsid w:val="004A28DC"/>
    <w:rsid w:val="004E4F74"/>
    <w:rsid w:val="004E6147"/>
    <w:rsid w:val="00506666"/>
    <w:rsid w:val="0052031F"/>
    <w:rsid w:val="00580937"/>
    <w:rsid w:val="005A2235"/>
    <w:rsid w:val="00600179"/>
    <w:rsid w:val="00606740"/>
    <w:rsid w:val="006133BA"/>
    <w:rsid w:val="006145A4"/>
    <w:rsid w:val="00633498"/>
    <w:rsid w:val="00670487"/>
    <w:rsid w:val="006A56BD"/>
    <w:rsid w:val="006E23D3"/>
    <w:rsid w:val="006F149E"/>
    <w:rsid w:val="0070106E"/>
    <w:rsid w:val="00713210"/>
    <w:rsid w:val="00724E0A"/>
    <w:rsid w:val="007313DA"/>
    <w:rsid w:val="00733337"/>
    <w:rsid w:val="00760352"/>
    <w:rsid w:val="00763D56"/>
    <w:rsid w:val="00772533"/>
    <w:rsid w:val="00773C2B"/>
    <w:rsid w:val="00784F3C"/>
    <w:rsid w:val="007A515A"/>
    <w:rsid w:val="007B1BC0"/>
    <w:rsid w:val="007D60EC"/>
    <w:rsid w:val="007E7C1F"/>
    <w:rsid w:val="00803D7E"/>
    <w:rsid w:val="00806CE7"/>
    <w:rsid w:val="00862136"/>
    <w:rsid w:val="00891BCC"/>
    <w:rsid w:val="00893178"/>
    <w:rsid w:val="008948A4"/>
    <w:rsid w:val="008C05D6"/>
    <w:rsid w:val="008C4834"/>
    <w:rsid w:val="009021C9"/>
    <w:rsid w:val="00912792"/>
    <w:rsid w:val="00924A0F"/>
    <w:rsid w:val="00933DBC"/>
    <w:rsid w:val="00952B96"/>
    <w:rsid w:val="00955F2A"/>
    <w:rsid w:val="009824C3"/>
    <w:rsid w:val="00985418"/>
    <w:rsid w:val="00990FB2"/>
    <w:rsid w:val="009A39E2"/>
    <w:rsid w:val="009A5190"/>
    <w:rsid w:val="009C30F0"/>
    <w:rsid w:val="009D60E2"/>
    <w:rsid w:val="00A01066"/>
    <w:rsid w:val="00A062BC"/>
    <w:rsid w:val="00A20EE7"/>
    <w:rsid w:val="00A4266C"/>
    <w:rsid w:val="00A509D9"/>
    <w:rsid w:val="00A51DFE"/>
    <w:rsid w:val="00A52338"/>
    <w:rsid w:val="00A75BBB"/>
    <w:rsid w:val="00A93335"/>
    <w:rsid w:val="00AC2BE1"/>
    <w:rsid w:val="00AC3141"/>
    <w:rsid w:val="00AC5CB0"/>
    <w:rsid w:val="00AC6CF7"/>
    <w:rsid w:val="00AF0068"/>
    <w:rsid w:val="00AF6E97"/>
    <w:rsid w:val="00B12D46"/>
    <w:rsid w:val="00B13518"/>
    <w:rsid w:val="00B56EC6"/>
    <w:rsid w:val="00B6117A"/>
    <w:rsid w:val="00B67820"/>
    <w:rsid w:val="00B75D74"/>
    <w:rsid w:val="00B87F51"/>
    <w:rsid w:val="00B90277"/>
    <w:rsid w:val="00BC2ECB"/>
    <w:rsid w:val="00BC572E"/>
    <w:rsid w:val="00BD114D"/>
    <w:rsid w:val="00C3450B"/>
    <w:rsid w:val="00C444CA"/>
    <w:rsid w:val="00CC0178"/>
    <w:rsid w:val="00CC4FCA"/>
    <w:rsid w:val="00CD002B"/>
    <w:rsid w:val="00CE794C"/>
    <w:rsid w:val="00D131CE"/>
    <w:rsid w:val="00D2277C"/>
    <w:rsid w:val="00D7018D"/>
    <w:rsid w:val="00D73F8E"/>
    <w:rsid w:val="00D9276B"/>
    <w:rsid w:val="00DB20C7"/>
    <w:rsid w:val="00DB3D02"/>
    <w:rsid w:val="00DC4D98"/>
    <w:rsid w:val="00E3073D"/>
    <w:rsid w:val="00E400FE"/>
    <w:rsid w:val="00E838BE"/>
    <w:rsid w:val="00E92234"/>
    <w:rsid w:val="00EB01E2"/>
    <w:rsid w:val="00EB55F2"/>
    <w:rsid w:val="00EC5DDB"/>
    <w:rsid w:val="00ED1626"/>
    <w:rsid w:val="00EE48B3"/>
    <w:rsid w:val="00F020F5"/>
    <w:rsid w:val="00F15117"/>
    <w:rsid w:val="00F162A3"/>
    <w:rsid w:val="00F21DC0"/>
    <w:rsid w:val="00F36330"/>
    <w:rsid w:val="00FC06DB"/>
    <w:rsid w:val="00FD08B5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3A9AC"/>
  <w15:docId w15:val="{FBF22742-BAFB-4BE8-94A1-160F01C7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82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E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678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8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8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BBB"/>
    <w:pPr>
      <w:ind w:left="720"/>
    </w:pPr>
  </w:style>
  <w:style w:type="paragraph" w:styleId="DocumentMap">
    <w:name w:val="Document Map"/>
    <w:basedOn w:val="Normal"/>
    <w:semiHidden/>
    <w:rsid w:val="00F020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891B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1A6874"/>
    <w:rPr>
      <w:sz w:val="16"/>
      <w:szCs w:val="16"/>
    </w:rPr>
  </w:style>
  <w:style w:type="paragraph" w:styleId="CommentText">
    <w:name w:val="annotation text"/>
    <w:basedOn w:val="Normal"/>
    <w:semiHidden/>
    <w:rsid w:val="001A68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6874"/>
    <w:rPr>
      <w:b/>
      <w:bCs/>
    </w:rPr>
  </w:style>
  <w:style w:type="paragraph" w:customStyle="1" w:styleId="BasicManualBody">
    <w:name w:val="Basic Manual Body"/>
    <w:basedOn w:val="Normal"/>
    <w:link w:val="BasicManualBodyChar"/>
    <w:rsid w:val="00357A2B"/>
    <w:pPr>
      <w:spacing w:after="120" w:line="260" w:lineRule="exact"/>
    </w:pPr>
    <w:rPr>
      <w:sz w:val="20"/>
      <w:szCs w:val="20"/>
    </w:rPr>
  </w:style>
  <w:style w:type="paragraph" w:customStyle="1" w:styleId="BasicManualList">
    <w:name w:val="Basic Manual List"/>
    <w:basedOn w:val="Normal"/>
    <w:rsid w:val="00357A2B"/>
    <w:pPr>
      <w:numPr>
        <w:numId w:val="27"/>
      </w:numPr>
      <w:spacing w:after="20" w:line="260" w:lineRule="exact"/>
    </w:pPr>
    <w:rPr>
      <w:sz w:val="20"/>
      <w:szCs w:val="20"/>
    </w:rPr>
  </w:style>
  <w:style w:type="character" w:customStyle="1" w:styleId="BasicManualBodyChar">
    <w:name w:val="Basic Manual Body Char"/>
    <w:link w:val="BasicManualBody"/>
    <w:rsid w:val="00357A2B"/>
    <w:rPr>
      <w:rFonts w:ascii="Times New Roman" w:eastAsia="Times New Roman" w:hAnsi="Times New Roman"/>
    </w:rPr>
  </w:style>
  <w:style w:type="paragraph" w:customStyle="1" w:styleId="BasicManualHeader1">
    <w:name w:val="Basic Manual Header 1"/>
    <w:basedOn w:val="Heading2"/>
    <w:next w:val="BasicManualBody"/>
    <w:rsid w:val="00357A2B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 w:line="26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asicManualHeader4">
    <w:name w:val="Basic Manual Header 4"/>
    <w:basedOn w:val="Normal"/>
    <w:rsid w:val="00357A2B"/>
    <w:pPr>
      <w:spacing w:before="80" w:line="260" w:lineRule="exact"/>
    </w:pPr>
    <w:rPr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asicManualHeader2">
    <w:name w:val="Basic Manual Header 2"/>
    <w:basedOn w:val="Heading3"/>
    <w:rsid w:val="00332ED0"/>
    <w:pPr>
      <w:keepLines w:val="0"/>
      <w:shd w:val="clear" w:color="auto" w:fill="E6E6E6"/>
      <w:spacing w:before="240" w:after="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2E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4B1575948F34CB047D2D4B50BB745" ma:contentTypeVersion="0" ma:contentTypeDescription="Create a new document." ma:contentTypeScope="" ma:versionID="67b0c6bc08ccf7dda3443b7c864b57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ca118bf8e715256d408b847436b9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33E78-FC7B-4A67-AF17-B629D9C0F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AC552-4FE7-4BFE-9122-6B176900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A541D-2659-4237-ADC3-2C9105684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connie_mendez</dc:creator>
  <cp:lastModifiedBy>Krystal Wolfe</cp:lastModifiedBy>
  <cp:revision>3</cp:revision>
  <cp:lastPrinted>2013-08-08T19:19:00Z</cp:lastPrinted>
  <dcterms:created xsi:type="dcterms:W3CDTF">2020-03-17T16:03:00Z</dcterms:created>
  <dcterms:modified xsi:type="dcterms:W3CDTF">2020-03-17T20:50:00Z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0x010100B864B1575948F34CB047D2D4B50BB745</vt:lpwstr>
  </property>
</Properties>
</file>